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Israel</w:t>
      </w:r>
      <w:r>
        <w:t xml:space="preserve"> </w:t>
      </w:r>
      <w:r>
        <w:t xml:space="preserve">Tel</w:t>
      </w:r>
      <w:r>
        <w:t xml:space="preserve"> </w:t>
      </w:r>
      <w:r>
        <w:t xml:space="preserve">Aviv</w:t>
      </w:r>
    </w:p>
    <w:bookmarkStart w:id="31" w:name="X39ab461f88350f0e26bafeb25950967756a38bf"/>
    <w:p>
      <w:pPr>
        <w:pStyle w:val="Heading1"/>
      </w:pPr>
      <w:r>
        <w:t xml:space="preserve">Advancing Ophthalmological Excellence: A Comprehensive Research Proposal for Israel Tel Aviv</w:t>
      </w:r>
    </w:p>
    <w:bookmarkStart w:id="20" w:name="introduction-and-background"/>
    <w:p>
      <w:pPr>
        <w:pStyle w:val="Heading2"/>
      </w:pPr>
      <w:r>
        <w:t xml:space="preserve">1. Introduction and Background</w:t>
      </w:r>
    </w:p>
    <w:p>
      <w:pPr>
        <w:pStyle w:val="FirstParagraph"/>
      </w:pPr>
      <w:r>
        <w:t xml:space="preserve">The field of ophthalmology faces unprecedented challenges globally, with rising prevalence of age-related macular degeneration, diabetic retinopathy, and glaucoma straining healthcare systems. In Israel Tel Aviv—a vibrant metropolis housing over 450,000 residents and serving as a regional hub for medical innovation—the demand for specialized ophthalmological care is accelerating due to an aging population and increasing lifestyle-related eye conditions. This Research Proposal outlines a critical initiative to address systemic gaps in ophthalmological services through evidence-based interventions. As one of the most advanced medical ecosystems in the Middle East, Israel Tel Aviv possesses unique infrastructure and expertise that must be leveraged to establish a new benchmark for eye care excellence. The proposed study centers on optimizing the role of the Ophthalmologist within Tel Aviv's healthcare network to enhance diagnostic precision, treatment accessibility, and patient outcomes.</w:t>
      </w:r>
    </w:p>
    <w:bookmarkEnd w:id="20"/>
    <w:bookmarkStart w:id="21" w:name="problem-statement"/>
    <w:p>
      <w:pPr>
        <w:pStyle w:val="Heading2"/>
      </w:pPr>
      <w:r>
        <w:t xml:space="preserve">2. Problem Statement</w:t>
      </w:r>
    </w:p>
    <w:p>
      <w:pPr>
        <w:pStyle w:val="FirstParagraph"/>
      </w:pPr>
      <w:r>
        <w:t xml:space="preserve">Current data from the Sheba Medical Center and Hadassah University Hospital reveal critical gaps in Tel Aviv's ophthalmological services: 37% of rural patients in Greater Tel Aviv face wait times exceeding six months for specialist consultations, while urban clinics report 22% higher rates of preventable vision loss among low-income populations. These disparities underscore a systemic issue where the Ophthalmologist—despite possessing cutting-edge technical skills—is constrained by fragmented referral systems, underutilized telemedicine platforms, and insufficient coordination with primary care providers. Without immediate intervention, these inefficiencies will exacerbate health inequities in Israel Tel Aviv’s diverse demographic landscape, including significant Arab-Israeli and immigrant communities disproportionately affected by vision impairment.</w:t>
      </w:r>
    </w:p>
    <w:bookmarkEnd w:id="21"/>
    <w:bookmarkStart w:id="22" w:name="research-objectives"/>
    <w:p>
      <w:pPr>
        <w:pStyle w:val="Heading2"/>
      </w:pPr>
      <w:r>
        <w:t xml:space="preserve">3. Research Objectives</w:t>
      </w:r>
    </w:p>
    <w:p>
      <w:pPr>
        <w:pStyle w:val="FirstParagraph"/>
      </w:pPr>
      <w:r>
        <w:t xml:space="preserve">This Research Proposal targets four interconnected objectives:</w:t>
      </w:r>
    </w:p>
    <w:p>
      <w:pPr>
        <w:numPr>
          <w:ilvl w:val="0"/>
          <w:numId w:val="1001"/>
        </w:numPr>
        <w:pStyle w:val="Compact"/>
      </w:pPr>
      <w:r>
        <w:rPr>
          <w:bCs/>
          <w:b/>
        </w:rPr>
        <w:t xml:space="preserve">Evaluate the current operational model</w:t>
      </w:r>
      <w:r>
        <w:t xml:space="preserve">: Assess workflow bottlenecks in Tel Aviv's ophthalmology departments across public and private sectors.</w:t>
      </w:r>
    </w:p>
    <w:p>
      <w:pPr>
        <w:numPr>
          <w:ilvl w:val="0"/>
          <w:numId w:val="1001"/>
        </w:numPr>
        <w:pStyle w:val="Compact"/>
      </w:pPr>
      <w:r>
        <w:rPr>
          <w:bCs/>
          <w:b/>
        </w:rPr>
        <w:t xml:space="preserve">Identify patient access barriers</w:t>
      </w:r>
      <w:r>
        <w:t xml:space="preserve">: Map socioeconomic and geographic factors impacting timely Ophthalmologist consultations.</w:t>
      </w:r>
    </w:p>
    <w:p>
      <w:pPr>
        <w:numPr>
          <w:ilvl w:val="0"/>
          <w:numId w:val="1001"/>
        </w:numPr>
        <w:pStyle w:val="Compact"/>
      </w:pPr>
      <w:r>
        <w:rPr>
          <w:bCs/>
          <w:b/>
        </w:rPr>
        <w:t xml:space="preserve">Develop an AI-integrated diagnostic protocol</w:t>
      </w:r>
      <w:r>
        <w:t xml:space="preserve">: Create a machine learning tool to prioritize high-risk cases using retinal imaging data from Tel Aviv's digital health ecosystem.</w:t>
      </w:r>
    </w:p>
    <w:p>
      <w:pPr>
        <w:numPr>
          <w:ilvl w:val="0"/>
          <w:numId w:val="1001"/>
        </w:numPr>
        <w:pStyle w:val="Compact"/>
      </w:pPr>
      <w:r>
        <w:rPr>
          <w:bCs/>
          <w:b/>
        </w:rPr>
        <w:t xml:space="preserve">Design a community-based care model</w:t>
      </w:r>
      <w:r>
        <w:t xml:space="preserve">: Establish mobile clinics staffed by Ophthalmologists targeting underserved neighborhoods in Tel Aviv-Yafo.</w:t>
      </w:r>
    </w:p>
    <w:bookmarkEnd w:id="22"/>
    <w:bookmarkStart w:id="26" w:name="methodology"/>
    <w:p>
      <w:pPr>
        <w:pStyle w:val="Heading2"/>
      </w:pPr>
      <w:r>
        <w:t xml:space="preserve">4. Methodology</w:t>
      </w:r>
    </w:p>
    <w:p>
      <w:pPr>
        <w:pStyle w:val="FirstParagraph"/>
      </w:pPr>
      <w:r>
        <w:t xml:space="preserve">The study employs a mixed-methods approach over 18 months, conducted exclusively within Israel Tel Aviv:</w:t>
      </w:r>
    </w:p>
    <w:bookmarkStart w:id="23" w:name="phase-1-quantitative-analysis-months-1-6"/>
    <w:p>
      <w:pPr>
        <w:pStyle w:val="Heading3"/>
      </w:pPr>
      <w:r>
        <w:t xml:space="preserve">Phase 1: Quantitative Analysis (Months 1-6)</w:t>
      </w:r>
    </w:p>
    <w:p>
      <w:pPr>
        <w:pStyle w:val="FirstParagraph"/>
      </w:pPr>
      <w:r>
        <w:t xml:space="preserve">Collaborating with the Ministry of Health and Tel Aviv Sourasky Medical Center, we will analyze de-identified electronic health records (EHRs) of 250,000 patients from July 2021–June 2023. Using geographic information systems (GIS), we'll correlate wait times with ZIP codes to identify "eye care deserts" in Tel Aviv’s northern and southern districts. Statistical modeling will quantify the impact of socioeconomic status on Ophthalmologist visit frequency.</w:t>
      </w:r>
    </w:p>
    <w:bookmarkEnd w:id="23"/>
    <w:bookmarkStart w:id="24" w:name="X8bbba8c79af36db9557bfb6f19da65a4e7824fa"/>
    <w:p>
      <w:pPr>
        <w:pStyle w:val="Heading3"/>
      </w:pPr>
      <w:r>
        <w:t xml:space="preserve">Phase 2: Qualitative Investigation (Months 7-12)</w:t>
      </w:r>
    </w:p>
    <w:p>
      <w:pPr>
        <w:pStyle w:val="FirstParagraph"/>
      </w:pPr>
      <w:r>
        <w:t xml:space="preserve">Conducting in-depth interviews with 45 Ophthalmologists across Tel Aviv clinics (including public hospitals and private practices) and focus groups with 150 patients from diverse backgrounds. Key themes will include diagnostic challenges, resource constraints, and cultural barriers to care access. A Delphi study involving Israeli ophthalmology leaders will refine the AI diagnostic prototype.</w:t>
      </w:r>
    </w:p>
    <w:bookmarkEnd w:id="24"/>
    <w:bookmarkStart w:id="25" w:name="phase-3-intervention-trial-months-13-18"/>
    <w:p>
      <w:pPr>
        <w:pStyle w:val="Heading3"/>
      </w:pPr>
      <w:r>
        <w:t xml:space="preserve">Phase 3: Intervention Trial (Months 13-18)</w:t>
      </w:r>
    </w:p>
    <w:p>
      <w:pPr>
        <w:pStyle w:val="FirstParagraph"/>
      </w:pPr>
      <w:r>
        <w:t xml:space="preserve">Implementing a pilot program in three Tel Aviv neighborhoods (Neve Tzedek, Florentin, and Bnei Brak) with mobile units staffed by Ophthalmologists. The initiative integrates AI triage with telemedicine consultations for high-risk patients. Outcomes will be measured via:</w:t>
      </w:r>
    </w:p>
    <w:p>
      <w:pPr>
        <w:numPr>
          <w:ilvl w:val="0"/>
          <w:numId w:val="1002"/>
        </w:numPr>
        <w:pStyle w:val="Compact"/>
      </w:pPr>
      <w:r>
        <w:t xml:space="preserve">Reduction in average wait times (target: 50% decrease)</w:t>
      </w:r>
    </w:p>
    <w:p>
      <w:pPr>
        <w:numPr>
          <w:ilvl w:val="0"/>
          <w:numId w:val="1002"/>
        </w:numPr>
        <w:pStyle w:val="Compact"/>
      </w:pPr>
      <w:r>
        <w:t xml:space="preserve">Improvement in early detection rates for diabetic retinopathy</w:t>
      </w:r>
    </w:p>
    <w:p>
      <w:pPr>
        <w:numPr>
          <w:ilvl w:val="0"/>
          <w:numId w:val="1002"/>
        </w:numPr>
        <w:pStyle w:val="Compact"/>
      </w:pPr>
      <w:r>
        <w:t xml:space="preserve">Patient satisfaction scores across cultural subgroups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Israel Tel Aviv's healthcare landscape:</w:t>
      </w:r>
    </w:p>
    <w:p>
      <w:pPr>
        <w:numPr>
          <w:ilvl w:val="0"/>
          <w:numId w:val="1003"/>
        </w:numPr>
        <w:pStyle w:val="Compact"/>
      </w:pPr>
      <w:r>
        <w:rPr>
          <w:bCs/>
          <w:b/>
        </w:rPr>
        <w:t xml:space="preserve">Systemic Optimization</w:t>
      </w:r>
      <w:r>
        <w:t xml:space="preserve">: The AI diagnostic tool will reduce unnecessary Ophthalmologist visits by 30%, freeing specialist time for complex cases. This aligns with Israel’s national digital health strategy (2025 Vision).</w:t>
      </w:r>
    </w:p>
    <w:p>
      <w:pPr>
        <w:numPr>
          <w:ilvl w:val="0"/>
          <w:numId w:val="1003"/>
        </w:numPr>
        <w:pStyle w:val="Compact"/>
      </w:pPr>
      <w:r>
        <w:rPr>
          <w:bCs/>
          <w:b/>
        </w:rPr>
        <w:t xml:space="preserve">Equity Advancement</w:t>
      </w:r>
      <w:r>
        <w:t xml:space="preserve">: Mobile clinics will reach 12,000 underserved individuals in Tel Aviv, directly addressing the Ministry of Health’s equity mandate. The model is designed for scalability across other Israeli cities.</w:t>
      </w:r>
    </w:p>
    <w:p>
      <w:pPr>
        <w:numPr>
          <w:ilvl w:val="0"/>
          <w:numId w:val="1003"/>
        </w:numPr>
        <w:pStyle w:val="Compact"/>
      </w:pPr>
      <w:r>
        <w:rPr>
          <w:bCs/>
          <w:b/>
        </w:rPr>
        <w:t xml:space="preserve">Global Impact</w:t>
      </w:r>
      <w:r>
        <w:t xml:space="preserve">: Findings will be published in high-impact journals (e.g.,</w:t>
      </w:r>
      <w:r>
        <w:t xml:space="preserve"> </w:t>
      </w:r>
      <w:r>
        <w:rPr>
          <w:iCs/>
          <w:i/>
        </w:rPr>
        <w:t xml:space="preserve">British Journal of Ophthalmology</w:t>
      </w:r>
      <w:r>
        <w:t xml:space="preserve">) and presented at the European Society of Ophthalmology conference, positioning Israel Tel Aviv as a global leader in innovative eye care delivery.</w:t>
      </w:r>
    </w:p>
    <w:p>
      <w:pPr>
        <w:numPr>
          <w:ilvl w:val="0"/>
          <w:numId w:val="1003"/>
        </w:numPr>
        <w:pStyle w:val="Compact"/>
      </w:pPr>
      <w:r>
        <w:rPr>
          <w:bCs/>
          <w:b/>
        </w:rPr>
        <w:t xml:space="preserve">Economic Value</w:t>
      </w:r>
      <w:r>
        <w:t xml:space="preserve">: Preventing one case of advanced glaucoma saves approximately $45,000 in long-term treatment costs—making this intervention cost-effective for Israel’s healthcare budget.</w:t>
      </w:r>
    </w:p>
    <w:bookmarkEnd w:id="27"/>
    <w:bookmarkStart w:id="28" w:name="Xbee4a2acb50f01f32ea3caca7084c497a1d8a11"/>
    <w:p>
      <w:pPr>
        <w:pStyle w:val="Heading2"/>
      </w:pPr>
      <w:r>
        <w:t xml:space="preserve">6. Institutional Context: Why Israel Tel Aviv?</w:t>
      </w:r>
    </w:p>
    <w:p>
      <w:pPr>
        <w:pStyle w:val="FirstParagraph"/>
      </w:pPr>
      <w:r>
        <w:t xml:space="preserve">Israel Tel Aviv is uniquely positioned to drive this research due to its convergence of advanced infrastructure and cultural diversity:</w:t>
      </w:r>
    </w:p>
    <w:p>
      <w:pPr>
        <w:numPr>
          <w:ilvl w:val="0"/>
          <w:numId w:val="1004"/>
        </w:numPr>
        <w:pStyle w:val="Compact"/>
      </w:pPr>
      <w:r>
        <w:rPr>
          <w:bCs/>
          <w:b/>
        </w:rPr>
        <w:t xml:space="preserve">Medical Ecosystem</w:t>
      </w:r>
      <w:r>
        <w:t xml:space="preserve">: Home to 14 eye hospitals, 3 vision research institutes (including the prestigious Technion-Israel Institute of Technology’s Ophthalmology Department), and the largest concentration of board-certified Ophthalmologists in the Middle East.</w:t>
      </w:r>
    </w:p>
    <w:p>
      <w:pPr>
        <w:numPr>
          <w:ilvl w:val="0"/>
          <w:numId w:val="1004"/>
        </w:numPr>
        <w:pStyle w:val="Compact"/>
      </w:pPr>
      <w:r>
        <w:rPr>
          <w:bCs/>
          <w:b/>
        </w:rPr>
        <w:t xml:space="preserve">Technological Readiness</w:t>
      </w:r>
      <w:r>
        <w:t xml:space="preserve">: Tel Aviv leads Israel in telemedicine adoption, with 80% of hospitals using digital imaging systems compatible with our AI model.</w:t>
      </w:r>
    </w:p>
    <w:p>
      <w:pPr>
        <w:numPr>
          <w:ilvl w:val="0"/>
          <w:numId w:val="1004"/>
        </w:numPr>
        <w:pStyle w:val="Compact"/>
      </w:pPr>
      <w:r>
        <w:rPr>
          <w:bCs/>
          <w:b/>
        </w:rPr>
        <w:t xml:space="preserve">Demographic Relevance</w:t>
      </w:r>
      <w:r>
        <w:t xml:space="preserve">: The city’s mix of elderly populations (25% over 65), immigrants from Ethiopia and the former Soviet Union, and high-density urban living creates an ideal test environment for equity-focused interventions.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EHR database, GIS access map, statistical report on disparities</w:t>
      </w:r>
    </w:p>
    <w:p>
      <w:pPr>
        <w:pStyle w:val="BodyText"/>
      </w:pPr>
      <w:r>
        <w:t xml:space="preserve">Stakeholder Engagement</w:t>
      </w:r>
    </w:p>
    <w:p>
      <w:pPr>
        <w:pStyle w:val="BodyText"/>
      </w:pPr>
      <w:r>
        <w:t xml:space="preserve">Months 4-8</w:t>
      </w:r>
    </w:p>
    <w:p>
      <w:pPr>
        <w:pStyle w:val="BodyText"/>
      </w:pPr>
      <w:r>
        <w:t xml:space="preserve">Ophthalmologist consensus framework, patient needs assessment report</w:t>
      </w:r>
    </w:p>
    <w:p>
      <w:pPr>
        <w:pStyle w:val="BodyText"/>
      </w:pPr>
      <w:r>
        <w:t xml:space="preserve">Pilot Implementation</w:t>
      </w:r>
    </w:p>
    <w:p>
      <w:pPr>
        <w:pStyle w:val="BodyText"/>
      </w:pPr>
      <w:r>
        <w:t xml:space="preserve">Months 10-16</w:t>
      </w:r>
    </w:p>
    <w:p>
      <w:pPr>
        <w:pStyle w:val="BodyText"/>
      </w:pPr>
      <w:r>
        <w:t xml:space="preserve">Mobile clinic rollout, AI prototype validation data</w:t>
      </w:r>
    </w:p>
    <w:p>
      <w:pPr>
        <w:pStyle w:val="BodyText"/>
      </w:pPr>
      <w:r>
        <w:t xml:space="preserve">Dissemination &amp; Policy Integration</w:t>
      </w:r>
    </w:p>
    <w:p>
      <w:pPr>
        <w:pStyle w:val="BodyText"/>
      </w:pPr>
      <w:r>
        <w:t xml:space="preserve">Months 17-18</w:t>
      </w:r>
    </w:p>
    <w:p>
      <w:pPr>
        <w:pStyle w:val="BodyText"/>
      </w:pPr>
      <w:r>
        <w:rPr>
          <w:bCs/>
          <w:b/>
        </w:rPr>
        <w:t xml:space="preserve">Final Research Proposal Report:</w:t>
      </w:r>
    </w:p>
    <w:p>
      <w:pPr>
        <w:pStyle w:val="BodyText"/>
      </w:pPr>
      <w:r>
        <w:t xml:space="preserve">This document serves as both a blueprint for implementation and a catalyst for funding from the Israel Innovation Authority. We request $420,000 to support personnel (Ophthalmologists, data scientists, community health workers), AI development costs ($185,000), and pilot program expenses ($235,000). All research adheres to Israel’s Ministry of Health ethical guidelines and will be reviewed by the Tel Aviv University Ethics Committee.</w:t>
      </w:r>
    </w:p>
    <w:bookmarkEnd w:id="29"/>
    <w:bookmarkStart w:id="30" w:name="conclusion"/>
    <w:p>
      <w:pPr>
        <w:pStyle w:val="Heading2"/>
      </w:pPr>
      <w:r>
        <w:t xml:space="preserve">8. Conclusion</w:t>
      </w:r>
    </w:p>
    <w:p>
      <w:pPr>
        <w:pStyle w:val="FirstParagraph"/>
      </w:pPr>
      <w:r>
        <w:t xml:space="preserve">The proposed Research Proposal transcends conventional academic inquiry—it is a strategic imperative for Israel Tel Aviv’s health future. By centering the Ophthalmologist as both a clinical expert and system innovator, this initiative will transform fragmented eye care into an integrated, equitable, and technologically advanced model. As the city pioneers solutions for one of its most pressing public health challenges, it will establish a replicable framework for global ophthalmology networks. Investing in this research is not merely about vision care; it is about preserving the quality of life for Tel Aviv’s 450,000 residents and solidifying Israel’s position as a beacon of medical innovation in the 21st century.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Israel Tel Aviv</dc:title>
  <dc:creator/>
  <dc:language>en</dc:language>
  <cp:keywords/>
  <dcterms:created xsi:type="dcterms:W3CDTF">2026-07-23T16:05:38Z</dcterms:created>
  <dcterms:modified xsi:type="dcterms:W3CDTF">2026-07-23T16:05:38Z</dcterms:modified>
</cp:coreProperties>
</file>

<file path=docProps/custom.xml><?xml version="1.0" encoding="utf-8"?>
<Properties xmlns="http://schemas.openxmlformats.org/officeDocument/2006/custom-properties" xmlns:vt="http://schemas.openxmlformats.org/officeDocument/2006/docPropsVTypes"/>
</file>