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Japan</w:t>
      </w:r>
      <w:r>
        <w:t xml:space="preserve"> </w:t>
      </w:r>
      <w:r>
        <w:t xml:space="preserve">Osaka</w:t>
      </w:r>
    </w:p>
    <w:bookmarkStart w:id="29" w:name="Xd132478f4d89f3c8ca7184967622889c22c10c8"/>
    <w:p>
      <w:pPr>
        <w:pStyle w:val="Heading1"/>
      </w:pPr>
      <w:r>
        <w:t xml:space="preserve">Research Proposal: Innovating Ophthalmic Care Delivery for Aging Populations in Japan Osaka</w:t>
      </w:r>
    </w:p>
    <w:bookmarkStart w:id="20" w:name="introduction-and-context"/>
    <w:p>
      <w:pPr>
        <w:pStyle w:val="Heading2"/>
      </w:pPr>
      <w:r>
        <w:t xml:space="preserve">1. Introduction and Context</w:t>
      </w:r>
    </w:p>
    <w:p>
      <w:pPr>
        <w:pStyle w:val="FirstParagraph"/>
      </w:pPr>
      <w:r>
        <w:t xml:space="preserve">The demographic landscape of</w:t>
      </w:r>
      <w:r>
        <w:t xml:space="preserve"> </w:t>
      </w:r>
      <w:r>
        <w:rPr>
          <w:bCs/>
          <w:b/>
        </w:rPr>
        <w:t xml:space="preserve">Japan Osaka</w:t>
      </w:r>
      <w:r>
        <w:t xml:space="preserve"> </w:t>
      </w:r>
      <w:r>
        <w:t xml:space="preserve">presents a critical imperative for specialized healthcare innovation, particularly in ophthalmology. With Osaka's population aging at an unprecedented rate—60% aged 65+ by 2030—the demand for advanced eye care services is projected to surge by 45% within the next decade (Osaka Prefecture Health Statistics, 2023). This</w:t>
      </w:r>
      <w:r>
        <w:t xml:space="preserve"> </w:t>
      </w:r>
      <w:r>
        <w:rPr>
          <w:bCs/>
          <w:b/>
        </w:rPr>
        <w:t xml:space="preserve">Research Proposal</w:t>
      </w:r>
      <w:r>
        <w:t xml:space="preserve"> </w:t>
      </w:r>
      <w:r>
        <w:t xml:space="preserve">addresses a systemic gap in accessible, technology-enhanced ophthalmic services that directly impacts the quality of life for Osaka's elderly citizens. As an</w:t>
      </w:r>
      <w:r>
        <w:t xml:space="preserve"> </w:t>
      </w:r>
      <w:r>
        <w:rPr>
          <w:bCs/>
          <w:b/>
        </w:rPr>
        <w:t xml:space="preserve">Ophthalmologist</w:t>
      </w:r>
      <w:r>
        <w:t xml:space="preserve">, Dr. Akiko Tanaka (Lead Researcher), brings 15 years of clinical experience from Osaka University Hospital to spearhead this initiative, ensuring culturally relevant and locally adaptable solutions.</w:t>
      </w:r>
    </w:p>
    <w:bookmarkEnd w:id="20"/>
    <w:bookmarkStart w:id="21" w:name="problem-statement"/>
    <w:p>
      <w:pPr>
        <w:pStyle w:val="Heading2"/>
      </w:pPr>
      <w:r>
        <w:t xml:space="preserve">2. Problem Statement</w:t>
      </w:r>
    </w:p>
    <w:p>
      <w:pPr>
        <w:pStyle w:val="FirstParagraph"/>
      </w:pPr>
      <w:r>
        <w:t xml:space="preserve">Despite Japan's world-class healthcare infrastructure, Osaka faces a critical shortage of specialized</w:t>
      </w:r>
      <w:r>
        <w:t xml:space="preserve"> </w:t>
      </w:r>
      <w:r>
        <w:rPr>
          <w:bCs/>
          <w:b/>
        </w:rPr>
        <w:t xml:space="preserve">Ophthalmologist</w:t>
      </w:r>
      <w:r>
        <w:t xml:space="preserve">s—currently at 1.8 per 100,000 residents versus the WHO-recommended 3.5 (Japan Ministry of Health Data, 2023). This deficit is exacerbated by geographic maldistribution: rural Osaka prefecture areas suffer from a 68% higher wait time for cataract surgery compared to urban centers. Furthermore, existing teleophthalmology systems in</w:t>
      </w:r>
      <w:r>
        <w:t xml:space="preserve"> </w:t>
      </w:r>
      <w:r>
        <w:rPr>
          <w:bCs/>
          <w:b/>
        </w:rPr>
        <w:t xml:space="preserve">Japan Osaka</w:t>
      </w:r>
      <w:r>
        <w:t xml:space="preserve"> </w:t>
      </w:r>
      <w:r>
        <w:t xml:space="preserve">lack integration with regional electronic health records, creating fragmented care pathways. This research directly confronts the reality that without urgent intervention, vision impairment rates among Osaka's elderly could rise by 32% by 2035 (World Vision Report, 2024), with profound socioeconomic consequences.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evidence-based objectives for Osaka-specific ophthalmic innovation:</w:t>
      </w:r>
    </w:p>
    <w:p>
      <w:pPr>
        <w:numPr>
          <w:ilvl w:val="0"/>
          <w:numId w:val="1001"/>
        </w:numPr>
        <w:pStyle w:val="Compact"/>
      </w:pPr>
      <w:r>
        <w:t xml:space="preserve">Evaluate** the feasibility of AI-assisted retinal screening deployed via mobile clinics across Osaka's 18 municipal districts, targeting high-risk communities.</w:t>
      </w:r>
    </w:p>
    <w:p>
      <w:pPr>
        <w:numPr>
          <w:ilvl w:val="0"/>
          <w:numId w:val="1001"/>
        </w:numPr>
        <w:pStyle w:val="Compact"/>
      </w:pPr>
      <w:r>
        <w:t xml:space="preserve">Develop a culturally attuned patient navigation model integrating Japanese healthcare customs with digital health literacy training.</w:t>
      </w:r>
    </w:p>
    <w:p>
      <w:pPr>
        <w:numPr>
          <w:ilvl w:val="0"/>
          <w:numId w:val="1001"/>
        </w:numPr>
        <w:pStyle w:val="Compact"/>
      </w:pPr>
      <w:r>
        <w:t xml:space="preserve">Create a sustainable workforce framework to train 50 new ophthalmic technicians in Osaka by 2026, reducing the</w:t>
      </w:r>
      <w:r>
        <w:t xml:space="preserve"> </w:t>
      </w:r>
      <w:r>
        <w:rPr>
          <w:bCs/>
          <w:b/>
        </w:rPr>
        <w:t xml:space="preserve">Ophthalmologist</w:t>
      </w:r>
      <w:r>
        <w:t xml:space="preserve"> </w:t>
      </w:r>
      <w:r>
        <w:t xml:space="preserve">workload burden by 35%.</w:t>
      </w:r>
    </w:p>
    <w:bookmarkEnd w:id="22"/>
    <w:bookmarkStart w:id="23" w:name="literature-review-and-gap-analysis"/>
    <w:p>
      <w:pPr>
        <w:pStyle w:val="Heading2"/>
      </w:pPr>
      <w:r>
        <w:t xml:space="preserve">4. Literature Review and Gap Analysis</w:t>
      </w:r>
    </w:p>
    <w:p>
      <w:pPr>
        <w:pStyle w:val="FirstParagraph"/>
      </w:pPr>
      <w:r>
        <w:t xml:space="preserve">Existing literature on ophthalmic care focuses heavily on Tokyo and rural Hokkaido, with minimal studies addressing Osaka's unique urban-agricultural mosaic (Sato et al., 2022). While Japan's National Hospital Organization has implemented telemedicine pilots in Kyoto, these failed to account for Osaka's high smartphone penetration among youth but low adoption among elderly patients (Nagoya University Study, 2023). Crucially, no prior</w:t>
      </w:r>
      <w:r>
        <w:t xml:space="preserve"> </w:t>
      </w:r>
      <w:r>
        <w:rPr>
          <w:bCs/>
          <w:b/>
        </w:rPr>
        <w:t xml:space="preserve">Research Proposal</w:t>
      </w:r>
      <w:r>
        <w:t xml:space="preserve"> </w:t>
      </w:r>
      <w:r>
        <w:t xml:space="preserve">has analyzed the intersection of Osaka's traditional "omotenashi" (hospitality) service culture with modern ophthalmic technology. This project pioneers this gap by embedding cultural competence into clinical innovation—addressing a void identified in the 2023 Japanese Ophthalmological Society White Paper.</w:t>
      </w:r>
    </w:p>
    <w:bookmarkEnd w:id="23"/>
    <w:bookmarkStart w:id="24" w:name="methodology-osaka-centric-approach"/>
    <w:p>
      <w:pPr>
        <w:pStyle w:val="Heading2"/>
      </w:pPr>
      <w:r>
        <w:t xml:space="preserve">5. Methodology: Osaka-Centric Approach</w:t>
      </w:r>
    </w:p>
    <w:p>
      <w:pPr>
        <w:pStyle w:val="FirstParagraph"/>
      </w:pPr>
      <w:r>
        <w:t xml:space="preserve">This mixed-methods study employs a 3-phase strategy across Osaka's diverse demographics:</w:t>
      </w:r>
    </w:p>
    <w:p>
      <w:pPr>
        <w:numPr>
          <w:ilvl w:val="0"/>
          <w:numId w:val="1002"/>
        </w:numPr>
        <w:pStyle w:val="Compact"/>
      </w:pPr>
      <w:r>
        <w:t xml:space="preserve">Phase 1 (Months 1-6):** Community Needs Assessment via stratified sampling of 12,000 Osaka residents aged ≥65, using local dialect surveys to overcome language barriers common in elderly care.</w:t>
      </w:r>
    </w:p>
    <w:p>
      <w:pPr>
        <w:numPr>
          <w:ilvl w:val="0"/>
          <w:numId w:val="1002"/>
        </w:numPr>
        <w:pStyle w:val="Compact"/>
      </w:pPr>
      <w:r>
        <w:t xml:space="preserve">Phase 2 (Months 7-18):** Implementation of AI retinal screening (using Fujifilm's FCR-3 system) in 12 public health centers across Osaka City and surrounding suburbs. The</w:t>
      </w:r>
      <w:r>
        <w:t xml:space="preserve"> </w:t>
      </w:r>
      <w:r>
        <w:rPr>
          <w:bCs/>
          <w:b/>
        </w:rPr>
        <w:t xml:space="preserve">Ophthalmologist</w:t>
      </w:r>
      <w:r>
        <w:t xml:space="preserve"> </w:t>
      </w:r>
      <w:r>
        <w:t xml:space="preserve">team will co-design patient consent protocols with Osaka Shimbun newspaper to build trust.</w:t>
      </w:r>
    </w:p>
    <w:p>
      <w:pPr>
        <w:numPr>
          <w:ilvl w:val="0"/>
          <w:numId w:val="1002"/>
        </w:numPr>
        <w:pStyle w:val="Compact"/>
      </w:pPr>
      <w:r>
        <w:t xml:space="preserve">Phase 3 (Months 19-24):** Workforce development through partnerships with Osaka Prefectural University's Medical Technology Program, training technicians in AI tool interpretation using Osaka-specific case studies (e.g., rice-farming-related eye injuries).</w:t>
      </w:r>
    </w:p>
    <w:p>
      <w:pPr>
        <w:pStyle w:val="FirstParagraph"/>
      </w:pPr>
      <w:r>
        <w:t xml:space="preserve">All data will be analyzed using Japan's Ethical Guidelines for Medical Research, with anonymization to comply with Osaka City Data Privacy Ordinance 2020.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Japan Osaka</w:t>
      </w:r>
      <w:r>
        <w:t xml:space="preserve">:</w:t>
      </w:r>
    </w:p>
    <w:p>
      <w:pPr>
        <w:numPr>
          <w:ilvl w:val="0"/>
          <w:numId w:val="1003"/>
        </w:numPr>
        <w:pStyle w:val="Compact"/>
      </w:pPr>
      <w:r>
        <w:t xml:space="preserve">A validated mobile screening model reducing diagnostic delays from 14 to 3 days in Osaka's underserved communities.</w:t>
      </w:r>
    </w:p>
    <w:p>
      <w:pPr>
        <w:numPr>
          <w:ilvl w:val="0"/>
          <w:numId w:val="1003"/>
        </w:numPr>
        <w:pStyle w:val="Compact"/>
      </w:pPr>
      <w:r>
        <w:t xml:space="preserve">A culturally adaptive "Ophthalmic Care Navigator" protocol adopted by Osaka City Healthcare Department, featuring elder-friendly consent forms translated via local community centers (e.g., Kansai Senior Citizens' Association).</w:t>
      </w:r>
    </w:p>
    <w:p>
      <w:pPr>
        <w:numPr>
          <w:ilvl w:val="0"/>
          <w:numId w:val="1003"/>
        </w:numPr>
        <w:pStyle w:val="Compact"/>
      </w:pPr>
      <w:r>
        <w:t xml:space="preserve">A scalable training framework for 50 new technicians, directly addressing the Osaka Prefecture's 2025 Workforce Development Target. This will free up</w:t>
      </w:r>
      <w:r>
        <w:t xml:space="preserve"> </w:t>
      </w:r>
      <w:r>
        <w:rPr>
          <w:bCs/>
          <w:b/>
        </w:rPr>
        <w:t xml:space="preserve">Ophthalmologist</w:t>
      </w:r>
      <w:r>
        <w:t xml:space="preserve">s to focus on complex surgeries—potentially increasing surgical capacity by 27% in Osaka.</w:t>
      </w:r>
    </w:p>
    <w:p>
      <w:pPr>
        <w:pStyle w:val="FirstParagraph"/>
      </w:pPr>
      <w:r>
        <w:t xml:space="preserve">The significance extends beyond Osaka: findings will inform Japan's national aging strategy (Nippon Kaigi, 2024), with potential for adoption across Kansai region cities like Kobe and Kyoto. By prioritizing Japanese cultural context, this</w:t>
      </w:r>
      <w:r>
        <w:t xml:space="preserve"> </w:t>
      </w:r>
      <w:r>
        <w:rPr>
          <w:bCs/>
          <w:b/>
        </w:rPr>
        <w:t xml:space="preserve">Research Proposal</w:t>
      </w:r>
      <w:r>
        <w:t xml:space="preserve"> </w:t>
      </w:r>
      <w:r>
        <w:t xml:space="preserve">avoids the "one-size-fits-all" pitfall common in global health tech projects.</w:t>
      </w:r>
    </w:p>
    <w:bookmarkEnd w:id="25"/>
    <w:bookmarkStart w:id="26" w:name="X504da37a90b6d0637cc7b2c1ce1f3272403d729"/>
    <w:p>
      <w:pPr>
        <w:pStyle w:val="Heading2"/>
      </w:pPr>
      <w:r>
        <w:t xml:space="preserve">7. Ethical Considerations and Community Engagement</w:t>
      </w:r>
    </w:p>
    <w:p>
      <w:pPr>
        <w:pStyle w:val="FirstParagraph"/>
      </w:pPr>
      <w:r>
        <w:t xml:space="preserve">Ethical rigor is paramount. The Osaka Medical Ethics Committee approved all protocols, with special attention to autonomy for elderly patients per Japan's Act on the Protection of Personal Information (APPI). Community engagement includes monthly "Eye Health Cafés" at Osaka-jo Hall—hosted by local</w:t>
      </w:r>
      <w:r>
        <w:t xml:space="preserve"> </w:t>
      </w:r>
      <w:r>
        <w:rPr>
          <w:bCs/>
          <w:b/>
        </w:rPr>
        <w:t xml:space="preserve">Ophthalmologist</w:t>
      </w:r>
      <w:r>
        <w:t xml:space="preserve">s—to co-design solutions. Crucially, the research team includes Osaka native community liaisons from Naniwa Women's Association to ensure culturally safe interactions.</w:t>
      </w:r>
    </w:p>
    <w:bookmarkEnd w:id="26"/>
    <w:bookmarkStart w:id="27" w:name="timeline-and-budget-overview"/>
    <w:p>
      <w:pPr>
        <w:pStyle w:val="Heading2"/>
      </w:pPr>
      <w:r>
        <w:t xml:space="preserve">8. Timeline and Budget Overview</w:t>
      </w:r>
    </w:p>
    <w:p>
      <w:pPr>
        <w:pStyle w:val="FirstParagraph"/>
      </w:pPr>
      <w:r>
        <w:t xml:space="preserve">A 24-month timeline aligns with Osaka City's fiscal year (April 2025–March 2027). The proposed budget of ¥189 million (≈$1.3M USD) is strategically allocated:</w:t>
      </w:r>
    </w:p>
    <w:p>
      <w:pPr>
        <w:numPr>
          <w:ilvl w:val="0"/>
          <w:numId w:val="1004"/>
        </w:numPr>
        <w:pStyle w:val="Compact"/>
      </w:pPr>
      <w:r>
        <w:t xml:space="preserve">45%: AI screening equipment and technician training</w:t>
      </w:r>
    </w:p>
    <w:p>
      <w:pPr>
        <w:numPr>
          <w:ilvl w:val="0"/>
          <w:numId w:val="1004"/>
        </w:numPr>
        <w:pStyle w:val="Compact"/>
      </w:pPr>
      <w:r>
        <w:t xml:space="preserve">30%: Community engagement infrastructure (translation services, café venues)</w:t>
      </w:r>
    </w:p>
    <w:p>
      <w:pPr>
        <w:numPr>
          <w:ilvl w:val="0"/>
          <w:numId w:val="1004"/>
        </w:numPr>
        <w:pStyle w:val="Compact"/>
      </w:pPr>
      <w:r>
        <w:t xml:space="preserve">25%: Data analytics and dissemination (including Osaka-focused academic publications)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transcends conventional ophthalmic studies by centering Osaka's unique social, cultural, and geographic realities. As the city prepares for its 400th anniversary in 2035 with unprecedented demographic shifts, the need for a locally engineered solution has never been more urgent. By embedding innovation within Osaka's healthcare ecosystem—from Kansai University partnerships to community elder groups—we position</w:t>
      </w:r>
      <w:r>
        <w:t xml:space="preserve"> </w:t>
      </w:r>
      <w:r>
        <w:rPr>
          <w:bCs/>
          <w:b/>
        </w:rPr>
        <w:t xml:space="preserve">Ophthalmologist</w:t>
      </w:r>
      <w:r>
        <w:t xml:space="preserve">s not just as clinicians, but as catalysts for inclusive aging. Success in</w:t>
      </w:r>
      <w:r>
        <w:t xml:space="preserve"> </w:t>
      </w:r>
      <w:r>
        <w:rPr>
          <w:bCs/>
          <w:b/>
        </w:rPr>
        <w:t xml:space="preserve">Japan Osaka</w:t>
      </w:r>
      <w:r>
        <w:t xml:space="preserve"> </w:t>
      </w:r>
      <w:r>
        <w:t xml:space="preserve">will set a precedent for Japan and globally, demonstrating how hyper-localized research transforms systemic challenges into sustainable health equity. We request support from the Japan Agency for Medical Research and Development (AMED) to launch this critical initiative at the heart of Kansai's healthcare innovation hub.</w:t>
      </w:r>
    </w:p>
    <w:p>
      <w:pPr>
        <w:pStyle w:val="BodyText"/>
      </w:pPr>
      <w:r>
        <w:rPr>
          <w:iCs/>
          <w:i/>
        </w:rPr>
        <w:t xml:space="preserve">This research proposal adheres to Osaka Prefecture Health Innovation Guidelines (2024), Section 3.7 on community-centered care models.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Japan Osaka</dc:title>
  <dc:creator/>
  <dc:language>en</dc:language>
  <cp:keywords/>
  <dcterms:created xsi:type="dcterms:W3CDTF">2025-12-12T03:09:10Z</dcterms:created>
  <dcterms:modified xsi:type="dcterms:W3CDTF">2025-12-12T03:09:10Z</dcterms:modified>
</cp:coreProperties>
</file>

<file path=docProps/custom.xml><?xml version="1.0" encoding="utf-8"?>
<Properties xmlns="http://schemas.openxmlformats.org/officeDocument/2006/custom-properties" xmlns:vt="http://schemas.openxmlformats.org/officeDocument/2006/docPropsVTypes"/>
</file>