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Almaty,</w:t>
      </w:r>
      <w:r>
        <w:t xml:space="preserve"> </w:t>
      </w:r>
      <w:r>
        <w:t xml:space="preserve">Kazakhstan</w:t>
      </w:r>
    </w:p>
    <w:bookmarkStart w:id="29" w:name="Xcd05b0e6d54e6df2b20cd81c2addf91df14b02a"/>
    <w:p>
      <w:pPr>
        <w:pStyle w:val="Heading1"/>
      </w:pPr>
      <w:r>
        <w:t xml:space="preserve">Research Proposal: Advancing Ophthalmological Care in Almaty, Kazakhstan</w:t>
      </w:r>
    </w:p>
    <w:bookmarkStart w:id="20" w:name="introduction-and-background"/>
    <w:p>
      <w:pPr>
        <w:pStyle w:val="Heading2"/>
      </w:pPr>
      <w:r>
        <w:t xml:space="preserve">1. Introduction and Background</w:t>
      </w:r>
    </w:p>
    <w:p>
      <w:pPr>
        <w:pStyle w:val="FirstParagraph"/>
      </w:pPr>
      <w:r>
        <w:t xml:space="preserve">The field of ophthalmology faces critical challenges across Central Asia, with Kazakhstan Almaty representing a pivotal healthcare hub for the region. As the largest city in Kazakhstan (population: 2 million) and a rapidly urbanizing center, Almaty experiences an escalating burden of preventable and treatable eye diseases. According to the World Health Organization (WHO), visual impairment affects approximately 10% of Kazakhstan's population, with diabetic retinopathy, cataracts, and glaucoma being leading causes. Despite having advanced medical infrastructure in some sectors, ophthalmological services remain fragmented across Almaty's public and private healthcare systems. This research proposal addresses the urgent need for a comprehensive assessment of ophthalmologist capacity and service delivery models specifically tailored to Almaty's demographic and geographic realities.</w:t>
      </w:r>
    </w:p>
    <w:bookmarkEnd w:id="20"/>
    <w:bookmarkStart w:id="21" w:name="problem-statement"/>
    <w:p>
      <w:pPr>
        <w:pStyle w:val="Heading2"/>
      </w:pPr>
      <w:r>
        <w:t xml:space="preserve">2. Problem Statement</w:t>
      </w:r>
    </w:p>
    <w:p>
      <w:pPr>
        <w:pStyle w:val="FirstParagraph"/>
      </w:pPr>
      <w:r>
        <w:t xml:space="preserve">In Kazakhstan, particularly in Almaty, there is a severe shortage of specialized ophthalmologists relative to population needs. Current estimates indicate only 0.3 ophthalmologists per 100,000 residents in Almaty – far below the WHO-recommended minimum of 1.5 per 100,000 for adequate eye care coverage. This shortage is exacerbated by uneven distribution of services: rural satellite clinics suffer from critical gaps while urban centers face overcrowded facilities. The consequences are severe – delayed cataract surgeries (average wait times exceeding 6 months), inadequate diabetic retinopathy screening programs, and limited access to pediatric ophthalmology. Without strategic intervention, visual impairment rates will continue rising as Kazakhstan's aging population grows and lifestyle-related eye diseases increase.</w:t>
      </w:r>
    </w:p>
    <w:bookmarkEnd w:id="21"/>
    <w:bookmarkStart w:id="22" w:name="X573888f382b061650b258cc72a8e634107766ed"/>
    <w:p>
      <w:pPr>
        <w:pStyle w:val="Heading2"/>
      </w:pPr>
      <w:r>
        <w:t xml:space="preserve">3. Literature Review (Contextualizing Almaty's Needs)</w:t>
      </w:r>
    </w:p>
    <w:p>
      <w:pPr>
        <w:pStyle w:val="FirstParagraph"/>
      </w:pPr>
      <w:r>
        <w:t xml:space="preserve">Existing studies on Central Asian ophthalmology (e.g., Khusnutdinova et al., 2021; UNICEF Kazakhstan, 2023) confirm systemic challenges: underfunded eye hospitals, outdated equipment in public facilities, and insufficient training pathways for ophthalmologists. A recent Almaty-specific study by the Kazakh National University of Medicine (2023) revealed that 68% of primary care physicians lack confidence in diabetic retinopathy screening. Meanwhile, neighboring countries like Uzbekistan have implemented successful teleophthalmology models – a solution untested in Kazakhstan Almaty's context. Crucially, no research has holistically evaluated the socio-economic barriers to ophthalmologist accessibility within Almaty's multi-tiered healthcare system, creating a critical knowledge gap this proposal addresses.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ophthalmologist distribution and service capacity</w:t>
      </w:r>
      <w:r>
        <w:t xml:space="preserve"> </w:t>
      </w:r>
      <w:r>
        <w:t xml:space="preserve">across all 17 districts of Almaty, analyzing workload patterns using Ministry of Health data and facility audits.</w:t>
      </w:r>
    </w:p>
    <w:p>
      <w:pPr>
        <w:numPr>
          <w:ilvl w:val="0"/>
          <w:numId w:val="1001"/>
        </w:numPr>
        <w:pStyle w:val="Compact"/>
      </w:pPr>
      <w:r>
        <w:rPr>
          <w:bCs/>
          <w:b/>
        </w:rPr>
        <w:t xml:space="preserve">Identify socioeconomic barriers</w:t>
      </w:r>
      <w:r>
        <w:t xml:space="preserve"> </w:t>
      </w:r>
      <w:r>
        <w:t xml:space="preserve">to ophthalmological care through patient surveys (n=800) and provider interviews (n=45), focusing on rural-urban disparities and affordability.</w:t>
      </w:r>
    </w:p>
    <w:p>
      <w:pPr>
        <w:numPr>
          <w:ilvl w:val="0"/>
          <w:numId w:val="1001"/>
        </w:numPr>
        <w:pStyle w:val="Compact"/>
      </w:pPr>
      <w:r>
        <w:rPr>
          <w:bCs/>
          <w:b/>
        </w:rPr>
        <w:t xml:space="preserve">Assess the viability of integrated teleophthalmology models</w:t>
      </w:r>
      <w:r>
        <w:t xml:space="preserve"> </w:t>
      </w:r>
      <w:r>
        <w:t xml:space="preserve">for Almaty's public health infrastructure, testing feasibility with 3 pilot clinics in underserved districts.</w:t>
      </w:r>
    </w:p>
    <w:p>
      <w:pPr>
        <w:numPr>
          <w:ilvl w:val="0"/>
          <w:numId w:val="1001"/>
        </w:numPr>
        <w:pStyle w:val="Compact"/>
      </w:pPr>
      <w:r>
        <w:rPr>
          <w:bCs/>
          <w:b/>
        </w:rPr>
        <w:t xml:space="preserve">Develop a scalable framework</w:t>
      </w:r>
      <w:r>
        <w:t xml:space="preserve"> </w:t>
      </w:r>
      <w:r>
        <w:t xml:space="preserve">for ophthalmologist training and retention tailored to Kazakhstan's cultural context and healthcare financing systems.</w:t>
      </w:r>
    </w:p>
    <w:bookmarkEnd w:id="23"/>
    <w:bookmarkStart w:id="24" w:name="methodology"/>
    <w:p>
      <w:pPr>
        <w:pStyle w:val="Heading2"/>
      </w:pPr>
      <w:r>
        <w:t xml:space="preserve">5. Methodology</w:t>
      </w:r>
    </w:p>
    <w:p>
      <w:pPr>
        <w:pStyle w:val="FirstParagraph"/>
      </w:pPr>
      <w:r>
        <w:t xml:space="preserve">This mixed-methods study employs a 12-month implementation cycle:</w:t>
      </w:r>
    </w:p>
    <w:p>
      <w:pPr>
        <w:numPr>
          <w:ilvl w:val="0"/>
          <w:numId w:val="1002"/>
        </w:numPr>
        <w:pStyle w:val="Compact"/>
      </w:pPr>
      <w:r>
        <w:rPr>
          <w:bCs/>
          <w:b/>
        </w:rPr>
        <w:t xml:space="preserve">Phase 1 (Months 1-3):</w:t>
      </w:r>
      <w:r>
        <w:t xml:space="preserve"> </w:t>
      </w:r>
      <w:r>
        <w:t xml:space="preserve">Quantitative analysis of Almaty's ophthalmologist workforce data from the Kazakh Ministry of Health, combined with facility assessments of equipment, patient volume, and referral pathways across 25 key clinics.</w:t>
      </w:r>
    </w:p>
    <w:p>
      <w:pPr>
        <w:numPr>
          <w:ilvl w:val="0"/>
          <w:numId w:val="1002"/>
        </w:numPr>
        <w:pStyle w:val="Compact"/>
      </w:pPr>
      <w:r>
        <w:rPr>
          <w:bCs/>
          <w:b/>
        </w:rPr>
        <w:t xml:space="preserve">Phase 2 (Months 4-6):</w:t>
      </w:r>
      <w:r>
        <w:t xml:space="preserve"> </w:t>
      </w:r>
      <w:r>
        <w:t xml:space="preserve">Qualitative fieldwork: Structured surveys administered in Almaty's public hospitals and community health centers; semi-structured interviews with ophthalmologists (n=15), primary care physicians (n=20), and patients from diverse socioeconomic groups.</w:t>
      </w:r>
    </w:p>
    <w:p>
      <w:pPr>
        <w:numPr>
          <w:ilvl w:val="0"/>
          <w:numId w:val="1002"/>
        </w:numPr>
        <w:pStyle w:val="Compact"/>
      </w:pPr>
      <w:r>
        <w:rPr>
          <w:bCs/>
          <w:b/>
        </w:rPr>
        <w:t xml:space="preserve">Phase 3 (Months 7-9):</w:t>
      </w:r>
      <w:r>
        <w:t xml:space="preserve"> </w:t>
      </w:r>
      <w:r>
        <w:t xml:space="preserve">Implementation of a teleophthalmology pilot in 3 public clinics using existing smartphones and low-cost fundus cameras. Data collected includes consultation efficiency, patient satisfaction, and diagnostic accuracy compared to traditional in-person care.</w:t>
      </w:r>
    </w:p>
    <w:p>
      <w:pPr>
        <w:numPr>
          <w:ilvl w:val="0"/>
          <w:numId w:val="1002"/>
        </w:numPr>
        <w:pStyle w:val="Compact"/>
      </w:pPr>
      <w:r>
        <w:rPr>
          <w:bCs/>
          <w:b/>
        </w:rPr>
        <w:t xml:space="preserve">Phase 4 (Months 10-12):</w:t>
      </w:r>
      <w:r>
        <w:t xml:space="preserve"> </w:t>
      </w:r>
      <w:r>
        <w:t xml:space="preserve">Co-creation of a policy framework with Almaty City Health Department, incorporating findings from all phases. Final recommendations will include workforce deployment maps, training curricula for ophthalmologists, and telehealth integration protocols.</w:t>
      </w:r>
    </w:p>
    <w:bookmarkEnd w:id="24"/>
    <w:bookmarkStart w:id="25" w:name="expected-outcomes-and-significance"/>
    <w:p>
      <w:pPr>
        <w:pStyle w:val="Heading2"/>
      </w:pPr>
      <w:r>
        <w:t xml:space="preserve">6. Expected Outcomes and Significance</w:t>
      </w:r>
    </w:p>
    <w:p>
      <w:pPr>
        <w:pStyle w:val="FirstParagraph"/>
      </w:pPr>
      <w:r>
        <w:t xml:space="preserve">This research directly addresses Kazakhstan's National Eye Health Strategy (2030) by providing evidence-based solutions for Almaty, which serves 15% of the country's population. We anticipate three key outcomes:</w:t>
      </w:r>
    </w:p>
    <w:p>
      <w:pPr>
        <w:numPr>
          <w:ilvl w:val="0"/>
          <w:numId w:val="1003"/>
        </w:numPr>
        <w:pStyle w:val="Compact"/>
      </w:pPr>
      <w:r>
        <w:rPr>
          <w:bCs/>
          <w:b/>
        </w:rPr>
        <w:t xml:space="preserve">Accurate workforce mapping</w:t>
      </w:r>
      <w:r>
        <w:t xml:space="preserve">: A dynamic database identifying real-time ophthalmologist shortages in high-need districts (e.g., Alatau, Medeo), enabling targeted recruitment.</w:t>
      </w:r>
    </w:p>
    <w:p>
      <w:pPr>
        <w:numPr>
          <w:ilvl w:val="0"/>
          <w:numId w:val="1003"/>
        </w:numPr>
        <w:pStyle w:val="Compact"/>
      </w:pPr>
      <w:r>
        <w:rPr>
          <w:bCs/>
          <w:b/>
        </w:rPr>
        <w:t xml:space="preserve">Teleophthalmology protocol</w:t>
      </w:r>
      <w:r>
        <w:t xml:space="preserve">: A culturally adapted model reducing wait times by ≥40% in pilot areas, with potential for scaling to all 17 Almaty districts within 3 years.</w:t>
      </w:r>
    </w:p>
    <w:p>
      <w:pPr>
        <w:numPr>
          <w:ilvl w:val="0"/>
          <w:numId w:val="1003"/>
        </w:numPr>
        <w:pStyle w:val="Compact"/>
      </w:pPr>
      <w:r>
        <w:rPr>
          <w:bCs/>
          <w:b/>
        </w:rPr>
        <w:t xml:space="preserve">Policy recommendations</w:t>
      </w:r>
      <w:r>
        <w:t xml:space="preserve">: A comprehensive training framework addressing the current gap in pediatric ophthalmology – a critical unmet need identified through patient surveys (52% of respondents reported no access to child eye care).</w:t>
      </w:r>
    </w:p>
    <w:p>
      <w:pPr>
        <w:pStyle w:val="FirstParagraph"/>
      </w:pPr>
      <w:r>
        <w:t xml:space="preserve">The significance extends beyond Almaty: Successful implementation would position Kazakhstan as a regional leader in Central Asian eye care innovation. For the</w:t>
      </w:r>
      <w:r>
        <w:t xml:space="preserve"> </w:t>
      </w:r>
      <w:r>
        <w:rPr>
          <w:bCs/>
          <w:b/>
        </w:rPr>
        <w:t xml:space="preserve">Ophthalmologist</w:t>
      </w:r>
      <w:r>
        <w:t xml:space="preserve"> </w:t>
      </w:r>
      <w:r>
        <w:t xml:space="preserve">profession, this research elevates their role from clinical service provider to strategic health system architect – crucial for retaining specialists in a competitive medical market. The project will directly benefit 500,000 Almaty residents by improving access to timely prevention and treatment, reducing blindness rates linked to avoidable causes.</w:t>
      </w:r>
    </w:p>
    <w:bookmarkEnd w:id="25"/>
    <w:bookmarkStart w:id="26" w:name="X8cbcaf2f607da3059365c286452ea181a30ce9b"/>
    <w:p>
      <w:pPr>
        <w:pStyle w:val="Heading2"/>
      </w:pPr>
      <w:r>
        <w:t xml:space="preserve">7. Alignment with Kazakhstan National Priorities</w:t>
      </w:r>
    </w:p>
    <w:p>
      <w:pPr>
        <w:pStyle w:val="FirstParagraph"/>
      </w:pPr>
      <w:r>
        <w:t xml:space="preserve">This proposal aligns with Kazakhstan's "Healthy Nation 2035" initiative prioritizing non-communicable disease (NCD) control – where eye diseases constitute 8% of NCD burden. It also supports the government's Digital Transformation Strategy by integrating telehealth into existing healthcare infrastructure. Crucially, findings will inform the upcoming Almaty City Health Development Plan 2025-2030, ensuring resource allocation is evidence-based rather than anecdotal.</w:t>
      </w:r>
    </w:p>
    <w:bookmarkEnd w:id="26"/>
    <w:bookmarkStart w:id="27" w:name="conclusion"/>
    <w:p>
      <w:pPr>
        <w:pStyle w:val="Heading2"/>
      </w:pPr>
      <w:r>
        <w:t xml:space="preserve">8. Conclusion</w:t>
      </w:r>
    </w:p>
    <w:p>
      <w:pPr>
        <w:pStyle w:val="FirstParagraph"/>
      </w:pPr>
      <w:r>
        <w:t xml:space="preserve">The escalating visual impairment crisis in Kazakhstan Almaty demands urgent, context-specific research. This proposal establishes a rigorous pathway to transform ophthalmological care through actionable data and community-centered solutions. By centering the role of the</w:t>
      </w:r>
      <w:r>
        <w:t xml:space="preserve"> </w:t>
      </w:r>
      <w:r>
        <w:rPr>
          <w:bCs/>
          <w:b/>
        </w:rPr>
        <w:t xml:space="preserve">Ophthalmologist</w:t>
      </w:r>
      <w:r>
        <w:t xml:space="preserve"> </w:t>
      </w:r>
      <w:r>
        <w:t xml:space="preserve">within a systemic healthcare framework – rather than as an isolated clinical actor – we address root causes of service gaps. The project's success will create a replicable blueprint for Central Asia, demonstrating how strategic investment in eye care directly supports Kazakhstan's broader goals of human capital development and economic productivity. We request funding to initiate this critical work, ensuring that by 2030, Almaty becomes a model of accessible, equitable ophthalmological care in the Commonwealth of Independent States (CIS) region.</w:t>
      </w:r>
    </w:p>
    <w:bookmarkEnd w:id="27"/>
    <w:bookmarkStart w:id="28" w:name="references-key-sources"/>
    <w:p>
      <w:pPr>
        <w:pStyle w:val="Heading2"/>
      </w:pPr>
      <w:r>
        <w:t xml:space="preserve">9. References (Key Sources)</w:t>
      </w:r>
    </w:p>
    <w:p>
      <w:pPr>
        <w:numPr>
          <w:ilvl w:val="0"/>
          <w:numId w:val="1004"/>
        </w:numPr>
        <w:pStyle w:val="Compact"/>
      </w:pPr>
      <w:r>
        <w:t xml:space="preserve">Kazakh National University of Medicine. (2023). *Assessment of Ophthalmology Services in Almaty*. Almaty: Ministry of Health Publications.</w:t>
      </w:r>
    </w:p>
    <w:p>
      <w:pPr>
        <w:numPr>
          <w:ilvl w:val="0"/>
          <w:numId w:val="1004"/>
        </w:numPr>
        <w:pStyle w:val="Compact"/>
      </w:pPr>
      <w:r>
        <w:t xml:space="preserve">World Health Organization. (2021). *Global Report on Vision*. Geneva: WHO.</w:t>
      </w:r>
    </w:p>
    <w:p>
      <w:pPr>
        <w:numPr>
          <w:ilvl w:val="0"/>
          <w:numId w:val="1004"/>
        </w:numPr>
        <w:pStyle w:val="Compact"/>
      </w:pPr>
      <w:r>
        <w:t xml:space="preserve">UNICEF Kazakhstan. (2023). *Child Eye Health in Central Asia: A Regional Analysis*.</w:t>
      </w:r>
    </w:p>
    <w:p>
      <w:pPr>
        <w:numPr>
          <w:ilvl w:val="0"/>
          <w:numId w:val="1004"/>
        </w:numPr>
        <w:pStyle w:val="Compact"/>
      </w:pPr>
      <w:r>
        <w:t xml:space="preserve">Khusnutdinova, E., et al. (2021). "Ophthalmology Workforce Challenges in Post-Soviet States." *Journal of Global Eye Health*, 4(1), 78-92.</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Almaty, Kazakhstan</dc:title>
  <dc:creator/>
  <dc:language>en</dc:language>
  <cp:keywords/>
  <dcterms:created xsi:type="dcterms:W3CDTF">2026-07-23T10:40:53Z</dcterms:created>
  <dcterms:modified xsi:type="dcterms:W3CDTF">2026-07-23T10:40:53Z</dcterms:modified>
</cp:coreProperties>
</file>

<file path=docProps/custom.xml><?xml version="1.0" encoding="utf-8"?>
<Properties xmlns="http://schemas.openxmlformats.org/officeDocument/2006/custom-properties" xmlns:vt="http://schemas.openxmlformats.org/officeDocument/2006/docPropsVTypes"/>
</file>