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Gaps</w:t>
      </w:r>
      <w:r>
        <w:t xml:space="preserve"> </w:t>
      </w:r>
      <w:r>
        <w:t xml:space="preserve">in</w:t>
      </w:r>
      <w:r>
        <w:t xml:space="preserve"> </w:t>
      </w:r>
      <w:r>
        <w:t xml:space="preserve">Kuwait</w:t>
      </w:r>
      <w:r>
        <w:t xml:space="preserve"> </w:t>
      </w:r>
      <w:r>
        <w:t xml:space="preserve">City</w:t>
      </w:r>
    </w:p>
    <w:bookmarkStart w:id="27" w:name="X7e8556a6d8e8f61381a7724027c5ae16618b40f"/>
    <w:p>
      <w:pPr>
        <w:pStyle w:val="Heading1"/>
      </w:pPr>
      <w:r>
        <w:t xml:space="preserve">Research Proposal: Strategic Assessment of Ophthalmologist Workforce Distribution and Service Delivery in Kuwait City, Kuwait</w:t>
      </w:r>
    </w:p>
    <w:bookmarkStart w:id="20" w:name="introduction-and-background"/>
    <w:p>
      <w:pPr>
        <w:pStyle w:val="Heading2"/>
      </w:pPr>
      <w:r>
        <w:t xml:space="preserve">1. Introduction and Background</w:t>
      </w:r>
    </w:p>
    <w:p>
      <w:pPr>
        <w:pStyle w:val="FirstParagraph"/>
      </w:pPr>
      <w:r>
        <w:t xml:space="preserve">The Kingdom of Kuwait, particularly its bustling capital city, Kuwait City, faces a critical challenge in ophthalmic healthcare delivery. As the population ages and non-communicable diseases (NCDs) like diabetes and hypertension surge—diabetes prevalence reaches 18% in Kuwait versus the global average of 9%—the demand for specialized</w:t>
      </w:r>
      <w:r>
        <w:t xml:space="preserve"> </w:t>
      </w:r>
      <w:r>
        <w:rPr>
          <w:bCs/>
          <w:b/>
        </w:rPr>
        <w:t xml:space="preserve">Ophthalmologist</w:t>
      </w:r>
      <w:r>
        <w:t xml:space="preserve"> </w:t>
      </w:r>
      <w:r>
        <w:t xml:space="preserve">services escalates dramatically. Kuwait City, home to over 2 million residents (nearly half the nation's population), experiences disproportionate strain on eye care infrastructure due to urban concentration. Current data indicates a significant deficit in Ophthalmologist-to-population ratios compared to global benchmarks and neighboring Gulf states. This Research Proposal aims to conduct a comprehensive, localized analysis of</w:t>
      </w:r>
      <w:r>
        <w:t xml:space="preserve"> </w:t>
      </w:r>
      <w:r>
        <w:rPr>
          <w:bCs/>
          <w:b/>
        </w:rPr>
        <w:t xml:space="preserve">Ophthalmologist</w:t>
      </w:r>
      <w:r>
        <w:t xml:space="preserve"> </w:t>
      </w:r>
      <w:r>
        <w:t xml:space="preserve">workforce dynamics within</w:t>
      </w:r>
      <w:r>
        <w:t xml:space="preserve"> </w:t>
      </w:r>
      <w:r>
        <w:rPr>
          <w:bCs/>
          <w:b/>
        </w:rPr>
        <w:t xml:space="preserve">Kuwait Kuwait City</w:t>
      </w:r>
      <w:r>
        <w:t xml:space="preserve">, identifying critical gaps and proposing evidence-based solutions to enhance accessibility, equity, and quality of eye care services for the city's diverse population.</w:t>
      </w:r>
    </w:p>
    <w:bookmarkEnd w:id="20"/>
    <w:bookmarkStart w:id="21" w:name="problem-statement-and-research-gap"/>
    <w:p>
      <w:pPr>
        <w:pStyle w:val="Heading2"/>
      </w:pPr>
      <w:r>
        <w:t xml:space="preserve">2. Problem Statement and Research Gap</w:t>
      </w:r>
    </w:p>
    <w:p>
      <w:pPr>
        <w:pStyle w:val="FirstParagraph"/>
      </w:pPr>
      <w:r>
        <w:t xml:space="preserve">Despite Kuwait's significant investments in healthcare infrastructure, a persistent gap exists between the growing ophthalmic needs of Kuwait City residents and the available specialized workforce. The Ministry of Health (MOH) reports a current Ophthalmologist ratio of approximately 1 per 65,000 people in Kuwait, falling short of the World Health Organization's recommended minimum of 1:50,000 for essential eye care. Crucially, this national average masks severe urban-rural disparities; Kuwait City alone houses over 75% of the country’s Ophthalmologists despite serving nearly half its population. This uneven distribution creates critical access barriers for vulnerable urban populations—especially in low-income districts like Farwaniya and Ahmadi—and leads to prolonged waiting times exceeding 6 months for non-emergency care at public facilities, as documented by recent MOH surveys. Furthermore, no comprehensive, city-specific study has mapped the precise geographic distribution of Ophthalmologist services relative to disease burden (e.g., diabetic retinopathy prevalence), workforce burnout rates among Ophthalmologists in Kuwait City clinics, or patient satisfaction metrics tied directly to service accessibility. This research gap impedes effective resource allocation and strategic planning by the Ministry of Health and private healthcare providers operating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density, and caseload capacity of licensed Ophthalmologists across all public and private healthcare facilities within Kuwait City.</w:t>
      </w:r>
    </w:p>
    <w:p>
      <w:pPr>
        <w:numPr>
          <w:ilvl w:val="0"/>
          <w:numId w:val="1001"/>
        </w:numPr>
        <w:pStyle w:val="Compact"/>
      </w:pPr>
      <w:r>
        <w:t xml:space="preserve">To correlate Ophthalmologist availability with district-level prevalence rates of major vision-threatening conditions (diabetic retinopathy, cataracts, glaucoma) using Kuwait MOH epidemiological data.</w:t>
      </w:r>
    </w:p>
    <w:p>
      <w:pPr>
        <w:numPr>
          <w:ilvl w:val="0"/>
          <w:numId w:val="1001"/>
        </w:numPr>
        <w:pStyle w:val="Compact"/>
      </w:pPr>
      <w:r>
        <w:t xml:space="preserve">To assess patient-reported barriers to accessing Ophthalmologist services in Kuwait City (e.g., wait times, transportation costs, language barriers) via a stratified survey of 1200+ residents across diverse socioeconomic neighborhoods.</w:t>
      </w:r>
    </w:p>
    <w:p>
      <w:pPr>
        <w:numPr>
          <w:ilvl w:val="0"/>
          <w:numId w:val="1001"/>
        </w:numPr>
        <w:pStyle w:val="Compact"/>
      </w:pPr>
      <w:r>
        <w:t xml:space="preserve">To evaluate the operational efficiency and workload stress levels of Ophthalmologists practicing within Kuwait City public hospitals through structured interviews and workflow analysis.</w:t>
      </w:r>
    </w:p>
    <w:p>
      <w:pPr>
        <w:numPr>
          <w:ilvl w:val="0"/>
          <w:numId w:val="1001"/>
        </w:numPr>
        <w:pStyle w:val="Compact"/>
      </w:pPr>
      <w:r>
        <w:t xml:space="preserve">To develop a data-driven, actionable blueprint for optimizing Ophthalmologist deployment and service models specifically designed for the unique demographic and geographic realities of Kuwait City.</w:t>
      </w:r>
    </w:p>
    <w:bookmarkEnd w:id="22"/>
    <w:bookmarkStart w:id="23" w:name="methodology"/>
    <w:p>
      <w:pPr>
        <w:pStyle w:val="Heading2"/>
      </w:pPr>
      <w:r>
        <w:t xml:space="preserve">4. Methodology</w:t>
      </w:r>
    </w:p>
    <w:p>
      <w:pPr>
        <w:pStyle w:val="FirstParagraph"/>
      </w:pPr>
      <w:r>
        <w:t xml:space="preserve">This mixed-methods study employs a triangulated approach:</w:t>
      </w:r>
    </w:p>
    <w:p>
      <w:pPr>
        <w:numPr>
          <w:ilvl w:val="0"/>
          <w:numId w:val="1002"/>
        </w:numPr>
        <w:pStyle w:val="Compact"/>
      </w:pPr>
      <w:r>
        <w:rPr>
          <w:bCs/>
          <w:b/>
        </w:rPr>
        <w:t xml:space="preserve">Quantitative Analysis:</w:t>
      </w:r>
      <w:r>
        <w:t xml:space="preserve"> </w:t>
      </w:r>
      <w:r>
        <w:t xml:space="preserve">Secure anonymized data from the Kuwait MOH Central Database and Ministry of Health Electronic Health Records (EHR) system for all Ophthalmologist-registered facilities in Kuwait City (n=35 clinics/hospitals). Analyze patient volume, procedure rates, referral patterns, and waiting lists over 18 months. Cross-reference with WHO disease burden statistics for Kuwait City.</w:t>
      </w:r>
    </w:p>
    <w:p>
      <w:pPr>
        <w:numPr>
          <w:ilvl w:val="0"/>
          <w:numId w:val="1002"/>
        </w:numPr>
        <w:pStyle w:val="Compact"/>
      </w:pPr>
      <w:r>
        <w:rPr>
          <w:bCs/>
          <w:b/>
        </w:rPr>
        <w:t xml:space="preserve">Geospatial Mapping:</w:t>
      </w:r>
      <w:r>
        <w:t xml:space="preserve"> </w:t>
      </w:r>
      <w:r>
        <w:t xml:space="preserve">Utilize GIS tools to create heat maps of Ophthalmologist service points overlaid with population density and NCD prevalence data (e.g., diabetes clusters), identifying high-need zones currently underserved.</w:t>
      </w:r>
    </w:p>
    <w:p>
      <w:pPr>
        <w:numPr>
          <w:ilvl w:val="0"/>
          <w:numId w:val="1002"/>
        </w:numPr>
        <w:pStyle w:val="Compact"/>
      </w:pPr>
      <w:r>
        <w:rPr>
          <w:bCs/>
          <w:b/>
        </w:rPr>
        <w:t xml:space="preserve">Qualitative Assessment:</w:t>
      </w:r>
      <w:r>
        <w:t xml:space="preserve"> </w:t>
      </w:r>
      <w:r>
        <w:t xml:space="preserve">Conduct semi-structured interviews with 45 Ophthalmologists (25 public, 20 private) to explore workload challenges. Administer a validated patient survey in Arabic and English to 1,200 randomly selected Kuwait City residents across five districts (Salmiya, Hawally, Farwaniya, Al Ahmadi, Shuwaikh), measuring accessibility pain points.</w:t>
      </w:r>
    </w:p>
    <w:p>
      <w:pPr>
        <w:numPr>
          <w:ilvl w:val="0"/>
          <w:numId w:val="1002"/>
        </w:numPr>
        <w:pStyle w:val="Compact"/>
      </w:pPr>
      <w:r>
        <w:rPr>
          <w:bCs/>
          <w:b/>
        </w:rPr>
        <w:t xml:space="preserve">Policy Simulation:</w:t>
      </w:r>
      <w:r>
        <w:t xml:space="preserve"> </w:t>
      </w:r>
      <w:r>
        <w:t xml:space="preserve">Model different workforce allocation scenarios (e.g., targeted deployment to high-need zones; teleophthalmology integration) using the collected data to predict impact on wait times and coverage gaps.</w:t>
      </w:r>
    </w:p>
    <w:bookmarkEnd w:id="23"/>
    <w:bookmarkStart w:id="24" w:name="X0f87ebaf0d81525f90582c57c04cb8f7c5a1531"/>
    <w:p>
      <w:pPr>
        <w:pStyle w:val="Heading2"/>
      </w:pPr>
      <w:r>
        <w:t xml:space="preserve">5. Significance and Expected Impact in Kuwait City</w:t>
      </w:r>
    </w:p>
    <w:p>
      <w:pPr>
        <w:pStyle w:val="FirstParagraph"/>
      </w:pPr>
      <w:r>
        <w:t xml:space="preserve">This research directly addresses a pressing public health priority within</w:t>
      </w:r>
      <w:r>
        <w:t xml:space="preserve"> </w:t>
      </w:r>
      <w:r>
        <w:rPr>
          <w:bCs/>
          <w:b/>
        </w:rPr>
        <w:t xml:space="preserve">Kuwait Kuwait City</w:t>
      </w:r>
      <w:r>
        <w:t xml:space="preserve">. By providing granular, localized data, the study will empower the Ministry of Health to implement evidence-based workforce planning initiatives, such as:</w:t>
      </w:r>
    </w:p>
    <w:p>
      <w:pPr>
        <w:numPr>
          <w:ilvl w:val="0"/>
          <w:numId w:val="1003"/>
        </w:numPr>
        <w:pStyle w:val="Compact"/>
      </w:pPr>
      <w:r>
        <w:t xml:space="preserve">Targeted recruitment drives for Ophthalmologists to under-served districts in Kuwait City (e.g., Ahmadi), reducing average wait times from 6+ months to under 3 months.</w:t>
      </w:r>
    </w:p>
    <w:p>
      <w:pPr>
        <w:numPr>
          <w:ilvl w:val="0"/>
          <w:numId w:val="1003"/>
        </w:numPr>
        <w:pStyle w:val="Compact"/>
      </w:pPr>
      <w:r>
        <w:t xml:space="preserve">Development of a "Mobile Ophthalmology Unit" network, deploying teams equipped with portable diagnostic tools to high-burden neighborhoods identified through the GIS mapping.</w:t>
      </w:r>
    </w:p>
    <w:p>
      <w:pPr>
        <w:numPr>
          <w:ilvl w:val="0"/>
          <w:numId w:val="1003"/>
        </w:numPr>
        <w:pStyle w:val="Compact"/>
      </w:pPr>
      <w:r>
        <w:t xml:space="preserve">Integration of teleophthalmology for initial diabetic retinopathy screenings in primary care clinics across Kuwait City, alleviating pressure on specialist centers and enabling early intervention.</w:t>
      </w:r>
    </w:p>
    <w:p>
      <w:pPr>
        <w:numPr>
          <w:ilvl w:val="0"/>
          <w:numId w:val="1003"/>
        </w:numPr>
        <w:pStyle w:val="Compact"/>
      </w:pPr>
      <w:r>
        <w:t xml:space="preserve">Policy recommendations for medical education institutions (e.g., Kuwait University School of Medicine) to increase residency slots specifically aligned with Kuwait City's projected needs.</w:t>
      </w:r>
    </w:p>
    <w:p>
      <w:pPr>
        <w:pStyle w:val="FirstParagraph"/>
      </w:pPr>
      <w:r>
        <w:t xml:space="preserve">The anticipated outcomes are measurable: a 25% reduction in average ophthalmic consultation wait times within Kuwait City within 3 years, improved early detection rates for preventable blindness (targeting a 15% increase over baseline), and significant cost savings for both patients and the public healthcare system through reduced complications from delayed care. Crucially, this research centers the needs of</w:t>
      </w:r>
      <w:r>
        <w:t xml:space="preserve"> </w:t>
      </w:r>
      <w:r>
        <w:rPr>
          <w:bCs/>
          <w:b/>
        </w:rPr>
        <w:t xml:space="preserve">Ophthalmologist</w:t>
      </w:r>
      <w:r>
        <w:t xml:space="preserve"> </w:t>
      </w:r>
      <w:r>
        <w:t xml:space="preserve">services within the specific context of Kuwait City's urban fabric, ensuring recommendations are practical for local implementation.</w:t>
      </w:r>
    </w:p>
    <w:bookmarkEnd w:id="24"/>
    <w:bookmarkStart w:id="25" w:name="conclusion"/>
    <w:p>
      <w:pPr>
        <w:pStyle w:val="Heading2"/>
      </w:pPr>
      <w:r>
        <w:t xml:space="preserve">6. Conclusion</w:t>
      </w:r>
    </w:p>
    <w:p>
      <w:pPr>
        <w:pStyle w:val="FirstParagraph"/>
      </w:pPr>
      <w:r>
        <w:t xml:space="preserve">The escalating burden of vision-threatening diseases in Kuwait City demands an urgent, data-driven response from healthcare policymakers and administrators. This Research Proposal offers a focused, actionable plan to systematically evaluate the state of Ophthalmologist services within the heart of Kuwait's healthcare system—Kuwait City itself. By moving beyond national averages to dissect urban dynamics, this study will deliver precise insights essential for optimizing workforce deployment, enhancing patient equity, and ultimately preserving sight for thousands of residents. The findings will serve as a critical benchmark not only for the Ministry of Health in Kuwait but also as a replicable model for other rapidly urbanizing Gulf cities facing similar ophthalmic service challenges. Investing in this targeted research is an investment in safeguarding the visual health and quality of life for the people who call</w:t>
      </w:r>
      <w:r>
        <w:t xml:space="preserve"> </w:t>
      </w:r>
      <w:r>
        <w:rPr>
          <w:bCs/>
          <w:b/>
        </w:rPr>
        <w:t xml:space="preserve">Kuwait City</w:t>
      </w:r>
      <w:r>
        <w:t xml:space="preserve"> </w:t>
      </w:r>
      <w:r>
        <w:t xml:space="preserve">their home.</w:t>
      </w:r>
    </w:p>
    <w:bookmarkEnd w:id="25"/>
    <w:bookmarkStart w:id="26" w:name="references-illustrative"/>
    <w:p>
      <w:pPr>
        <w:pStyle w:val="Heading2"/>
      </w:pPr>
      <w:r>
        <w:t xml:space="preserve">7. References (Illustrative)</w:t>
      </w:r>
    </w:p>
    <w:p>
      <w:pPr>
        <w:numPr>
          <w:ilvl w:val="0"/>
          <w:numId w:val="1004"/>
        </w:numPr>
        <w:pStyle w:val="Compact"/>
      </w:pPr>
      <w:r>
        <w:t xml:space="preserve">Kuwait Ministry of Health. (2023). *Annual Report on Non-Communicable Diseases in Kuwait*. Kuwait City: MOH Publications.</w:t>
      </w:r>
    </w:p>
    <w:p>
      <w:pPr>
        <w:numPr>
          <w:ilvl w:val="0"/>
          <w:numId w:val="1004"/>
        </w:numPr>
        <w:pStyle w:val="Compact"/>
      </w:pPr>
      <w:r>
        <w:t xml:space="preserve">World Health Organization. (2021). *Global Vision Data: Ophthalmologist Workforce Standards*. Geneva.</w:t>
      </w:r>
    </w:p>
    <w:p>
      <w:pPr>
        <w:numPr>
          <w:ilvl w:val="0"/>
          <w:numId w:val="1004"/>
        </w:numPr>
        <w:pStyle w:val="Compact"/>
      </w:pPr>
      <w:r>
        <w:t xml:space="preserve">Al-Dosari, H., et al. (2022). "Urban-Rural Disparities in Eye Care Access in Kuwait." *Middle East Journal of Ophthalmology*, 45(3), 112-119.</w:t>
      </w:r>
    </w:p>
    <w:p>
      <w:pPr>
        <w:numPr>
          <w:ilvl w:val="0"/>
          <w:numId w:val="1004"/>
        </w:numPr>
        <w:pStyle w:val="Compact"/>
      </w:pPr>
      <w:r>
        <w:t xml:space="preserve">Kuwait Central Statistical Bureau. (2023). *Population and Housing Census: Kuwait City Demographics*.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Gaps in Kuwait City</dc:title>
  <dc:creator/>
  <dc:language>en</dc:language>
  <cp:keywords/>
  <dcterms:created xsi:type="dcterms:W3CDTF">2026-07-23T09:45:25Z</dcterms:created>
  <dcterms:modified xsi:type="dcterms:W3CDTF">2026-07-23T09:45:25Z</dcterms:modified>
</cp:coreProperties>
</file>

<file path=docProps/custom.xml><?xml version="1.0" encoding="utf-8"?>
<Properties xmlns="http://schemas.openxmlformats.org/officeDocument/2006/custom-properties" xmlns:vt="http://schemas.openxmlformats.org/officeDocument/2006/docPropsVTypes"/>
</file>