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Shortages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28158382d529593b81a73f598d36260f3eb511"/>
    <w:p>
      <w:pPr>
        <w:pStyle w:val="Heading1"/>
      </w:pPr>
      <w:r>
        <w:t xml:space="preserve">Research Proposal: Strategic Analysis of Ophthalmologist Workforce Distribution and Service Accessibility in Malaysia Kuala Lumpur</w:t>
      </w:r>
    </w:p>
    <w:bookmarkStart w:id="20" w:name="introduction-and-background"/>
    <w:p>
      <w:pPr>
        <w:pStyle w:val="Heading2"/>
      </w:pPr>
      <w:r>
        <w:t xml:space="preserve">1. Introduction and Background</w:t>
      </w:r>
    </w:p>
    <w:p>
      <w:pPr>
        <w:pStyle w:val="FirstParagraph"/>
      </w:pPr>
      <w:r>
        <w:t xml:space="preserve">The rapid urbanization and aging population of Malaysia, particularly in the capital city Kuala Lumpur (KL), have significantly elevated the burden of ocular diseases. As a regional healthcare hub serving over 8 million residents and attracting medical tourists from Southeast Asia,</w:t>
      </w:r>
      <w:r>
        <w:t xml:space="preserve"> </w:t>
      </w:r>
      <w:r>
        <w:rPr>
          <w:bCs/>
          <w:b/>
        </w:rPr>
        <w:t xml:space="preserve">Malaysia Kuala Lumpur</w:t>
      </w:r>
      <w:r>
        <w:t xml:space="preserve"> </w:t>
      </w:r>
      <w:r>
        <w:t xml:space="preserve">faces critical challenges in eye care delivery. Cataracts, diabetic retinopathy, glaucoma, and age-related macular degeneration are increasingly prevalent due to rising chronic disease rates and longer life expectancy. However, the availability of specialized</w:t>
      </w:r>
      <w:r>
        <w:t xml:space="preserve"> </w:t>
      </w:r>
      <w:r>
        <w:rPr>
          <w:bCs/>
          <w:b/>
        </w:rPr>
        <w:t xml:space="preserve">Ophthalmologist</w:t>
      </w:r>
      <w:r>
        <w:t xml:space="preserve"> </w:t>
      </w:r>
      <w:r>
        <w:t xml:space="preserve">services remains inadequate compared to demand. According to the Ministry of Health (MOH) Malaysia 2023 report, KL has only 1 ophthalmologist per 45,000 residents—well below the World Health Organization's recommended ratio of 1:15,000. This disparity jeopardizes timely diagnosis and treatment, leading to preventable vision loss. This</w:t>
      </w:r>
      <w:r>
        <w:t xml:space="preserve"> </w:t>
      </w:r>
      <w:r>
        <w:rPr>
          <w:bCs/>
          <w:b/>
        </w:rPr>
        <w:t xml:space="preserve">Research Proposal</w:t>
      </w:r>
      <w:r>
        <w:t xml:space="preserve"> </w:t>
      </w:r>
      <w:r>
        <w:t xml:space="preserve">aims to comprehensively analyze the current ophthalmologist workforce distribution, service accessibility gaps, and socio-economic barriers within Kuala Lumpur’s healthcare ecosystem.</w:t>
      </w:r>
    </w:p>
    <w:bookmarkEnd w:id="20"/>
    <w:bookmarkStart w:id="21" w:name="problem-statement"/>
    <w:p>
      <w:pPr>
        <w:pStyle w:val="Heading2"/>
      </w:pPr>
      <w:r>
        <w:t xml:space="preserve">2. Problem Statement</w:t>
      </w:r>
    </w:p>
    <w:p>
      <w:pPr>
        <w:pStyle w:val="FirstParagraph"/>
      </w:pPr>
      <w:r>
        <w:t xml:space="preserve">Kuala Lumpur’s eye care system is strained by a combination of factors: (1) A severe shortage of trained</w:t>
      </w:r>
      <w:r>
        <w:t xml:space="preserve"> </w:t>
      </w:r>
      <w:r>
        <w:rPr>
          <w:bCs/>
          <w:b/>
        </w:rPr>
        <w:t xml:space="preserve">Ophthalmologist</w:t>
      </w:r>
      <w:r>
        <w:t xml:space="preserve">s concentrated in private facilities, leaving public hospitals under-resourced; (2) Geographical maldistribution with high-density urban zones like Petaling Jaya and Kuala Lumpur City Centre facing longer wait times (&gt;6 months for cataract surgery), while suburban areas have minimal access; (3) Financial barriers preventing low-income patients from utilizing affordable public services due to long queues. The 2022 National Eye Health Survey highlighted that 38% of Malaysians in KL delay eye care due to costs or accessibility, directly correlating with rising rates of blindness from treatable conditions. Without urgent intervention, the</w:t>
      </w:r>
      <w:r>
        <w:t xml:space="preserve"> </w:t>
      </w:r>
      <w:r>
        <w:rPr>
          <w:bCs/>
          <w:b/>
        </w:rPr>
        <w:t xml:space="preserve">Malaysia Kuala Lumpur</w:t>
      </w:r>
      <w:r>
        <w:t xml:space="preserve"> </w:t>
      </w:r>
      <w:r>
        <w:t xml:space="preserve">healthcare system risks failing its most vulnerable populations. This</w:t>
      </w:r>
      <w:r>
        <w:t xml:space="preserve"> </w:t>
      </w:r>
      <w:r>
        <w:rPr>
          <w:bCs/>
          <w:b/>
        </w:rPr>
        <w:t xml:space="preserve">Research Proposal</w:t>
      </w:r>
      <w:r>
        <w:t xml:space="preserve"> </w:t>
      </w:r>
      <w:r>
        <w:t xml:space="preserve">addresses these gaps through evidence-based analysis to inform policy reforms.</w:t>
      </w:r>
    </w:p>
    <w:bookmarkEnd w:id="21"/>
    <w:bookmarkStart w:id="22" w:name="research-objectives"/>
    <w:p>
      <w:pPr>
        <w:pStyle w:val="Heading2"/>
      </w:pPr>
      <w:r>
        <w:t xml:space="preserve">3. Research Objectives</w:t>
      </w:r>
    </w:p>
    <w:p>
      <w:pPr>
        <w:numPr>
          <w:ilvl w:val="0"/>
          <w:numId w:val="1001"/>
        </w:numPr>
        <w:pStyle w:val="Compact"/>
      </w:pPr>
      <w:r>
        <w:t xml:space="preserve">To map the current density, distribution, and specialty composition of all practicing</w:t>
      </w:r>
      <w:r>
        <w:t xml:space="preserve"> </w:t>
      </w:r>
      <w:r>
        <w:rPr>
          <w:bCs/>
          <w:b/>
        </w:rPr>
        <w:t xml:space="preserve">Ophthalmologist</w:t>
      </w:r>
      <w:r>
        <w:t xml:space="preserve">s across KL’s public hospitals (e.g., University Malaya Medical Centre), private clinics (e.g., Gleneagles Hospital), and primary care centers.</w:t>
      </w:r>
    </w:p>
    <w:p>
      <w:pPr>
        <w:numPr>
          <w:ilvl w:val="0"/>
          <w:numId w:val="1001"/>
        </w:numPr>
        <w:pStyle w:val="Compact"/>
      </w:pPr>
      <w:r>
        <w:t xml:space="preserve">To quantify patient wait times, referral pathways, and service utilization patterns using anonymized electronic health records from MOH facilities in KL.</w:t>
      </w:r>
    </w:p>
    <w:p>
      <w:pPr>
        <w:numPr>
          <w:ilvl w:val="0"/>
          <w:numId w:val="1001"/>
        </w:numPr>
        <w:pStyle w:val="Compact"/>
      </w:pPr>
      <w:r>
        <w:t xml:space="preserve">To assess socio-economic barriers (income level, insurance coverage, transportation) affecting accessibility to ophthalmic services for KL’s urban poor communities.</w:t>
      </w:r>
    </w:p>
    <w:p>
      <w:pPr>
        <w:numPr>
          <w:ilvl w:val="0"/>
          <w:numId w:val="1001"/>
        </w:numPr>
        <w:pStyle w:val="Compact"/>
      </w:pPr>
      <w:r>
        <w:t xml:space="preserve">To develop a predictive model forecasting future ophthalmologist needs in KL by 2035 based on demographic trends and disease prevalence data.</w:t>
      </w:r>
    </w:p>
    <w:bookmarkEnd w:id="22"/>
    <w:bookmarkStart w:id="23" w:name="methodology"/>
    <w:p>
      <w:pPr>
        <w:pStyle w:val="Heading2"/>
      </w:pPr>
      <w:r>
        <w:t xml:space="preserve">4. Methodology</w:t>
      </w:r>
    </w:p>
    <w:p>
      <w:pPr>
        <w:pStyle w:val="FirstParagraph"/>
      </w:pPr>
      <w:r>
        <w:t xml:space="preserve">This mixed-methods study will employ three core approaches across a 14-month period:</w:t>
      </w:r>
    </w:p>
    <w:p>
      <w:pPr>
        <w:numPr>
          <w:ilvl w:val="0"/>
          <w:numId w:val="1002"/>
        </w:numPr>
        <w:pStyle w:val="Compact"/>
      </w:pPr>
      <w:r>
        <w:rPr>
          <w:bCs/>
          <w:b/>
        </w:rPr>
        <w:t xml:space="preserve">Quantitative Analysis:</w:t>
      </w:r>
      <w:r>
        <w:t xml:space="preserve"> </w:t>
      </w:r>
      <w:r>
        <w:t xml:space="preserve">Collaborate with MOH Kuala Lumpur to access de-identified patient data from 5 major public hospitals (e.g., Selayang General Hospital, Pantai Hospital KL). We will analyze wait times, surgery volumes, and referral rates for common conditions using GIS mapping to identify service deserts.</w:t>
      </w:r>
    </w:p>
    <w:p>
      <w:pPr>
        <w:numPr>
          <w:ilvl w:val="0"/>
          <w:numId w:val="1002"/>
        </w:numPr>
        <w:pStyle w:val="Compact"/>
      </w:pPr>
      <w:r>
        <w:rPr>
          <w:bCs/>
          <w:b/>
        </w:rPr>
        <w:t xml:space="preserve">Qualitative Fieldwork:</w:t>
      </w:r>
      <w:r>
        <w:t xml:space="preserve"> </w:t>
      </w:r>
      <w:r>
        <w:t xml:space="preserve">Conduct semi-structured interviews with 45 stakeholders—20 practicing</w:t>
      </w:r>
      <w:r>
        <w:t xml:space="preserve"> </w:t>
      </w:r>
      <w:r>
        <w:rPr>
          <w:bCs/>
          <w:b/>
        </w:rPr>
        <w:t xml:space="preserve">Ophthalmologist</w:t>
      </w:r>
      <w:r>
        <w:t xml:space="preserve">s (public/private sectors), 15 MOH policymakers, and 10 community health workers in underserved KL neighborhoods (e.g., Kampung Baru, Cheras).</w:t>
      </w:r>
    </w:p>
    <w:p>
      <w:pPr>
        <w:numPr>
          <w:ilvl w:val="0"/>
          <w:numId w:val="1002"/>
        </w:numPr>
        <w:pStyle w:val="Compact"/>
      </w:pPr>
      <w:r>
        <w:rPr>
          <w:bCs/>
          <w:b/>
        </w:rPr>
        <w:t xml:space="preserve">Surveys:</w:t>
      </w:r>
      <w:r>
        <w:t xml:space="preserve"> </w:t>
      </w:r>
      <w:r>
        <w:t xml:space="preserve">Administer stratified random surveys to 600 patients at public eye clinics across KL to measure out-of-pocket costs, transportation challenges, and satisfaction levels.</w:t>
      </w:r>
    </w:p>
    <w:p>
      <w:pPr>
        <w:pStyle w:val="FirstParagraph"/>
      </w:pPr>
      <w:r>
        <w:t xml:space="preserve">All data collection will comply with the National Medical Research Register (NMRR) guidelines. Ethical approval will be sought from Universiti Kebangsaan Malaysia’s Institutional Review Board. Statistical analysis will use SPSS v28 for regression modeling, while thematic analysis will process qualitative insights.</w:t>
      </w:r>
    </w:p>
    <w:bookmarkEnd w:id="23"/>
    <w:bookmarkStart w:id="24" w:name="significance-to-malaysia-kuala-lumpur"/>
    <w:p>
      <w:pPr>
        <w:pStyle w:val="Heading2"/>
      </w:pPr>
      <w:r>
        <w:t xml:space="preserve">5. Significance to Malaysia Kuala Lumpur</w:t>
      </w:r>
    </w:p>
    <w:p>
      <w:pPr>
        <w:pStyle w:val="FirstParagraph"/>
      </w:pPr>
      <w:r>
        <w:t xml:space="preserve">This research directly responds to the Malaysian National Eye Health Program 2021-2030 priority: "Ensuring equitable access to quality eye care for all." Findings will provide KL-specific data to address the MOH’s 2035 target of reducing avoidable blindness by 50%. By pinpointing where</w:t>
      </w:r>
      <w:r>
        <w:t xml:space="preserve"> </w:t>
      </w:r>
      <w:r>
        <w:rPr>
          <w:bCs/>
          <w:b/>
        </w:rPr>
        <w:t xml:space="preserve">Ophthalmologist</w:t>
      </w:r>
      <w:r>
        <w:t xml:space="preserve"> </w:t>
      </w:r>
      <w:r>
        <w:t xml:space="preserve">shortages are most acute in</w:t>
      </w:r>
      <w:r>
        <w:t xml:space="preserve"> </w:t>
      </w:r>
      <w:r>
        <w:rPr>
          <w:bCs/>
          <w:b/>
        </w:rPr>
        <w:t xml:space="preserve">Malaysia Kuala Lumpur</w:t>
      </w:r>
      <w:r>
        <w:t xml:space="preserve">, this study will enable targeted resource allocation—such as incentivizing rural postings for new graduates or optimizing mobile screening units in high-need zones. Crucially, it will benchmark KL against global models (e.g., Singapore’s ophthalmology hub strategy) to design contextually appropriate solutions.</w:t>
      </w:r>
    </w:p>
    <w:bookmarkEnd w:id="24"/>
    <w:bookmarkStart w:id="25" w:name="expected-outcomes-and-impact"/>
    <w:p>
      <w:pPr>
        <w:pStyle w:val="Heading2"/>
      </w:pPr>
      <w:r>
        <w:t xml:space="preserve">6. Expected Outcomes and Impact</w:t>
      </w:r>
    </w:p>
    <w:p>
      <w:pPr>
        <w:pStyle w:val="FirstParagraph"/>
      </w:pPr>
      <w:r>
        <w:t xml:space="preserve">We anticipate three key deliverables:</w:t>
      </w:r>
    </w:p>
    <w:p>
      <w:pPr>
        <w:numPr>
          <w:ilvl w:val="0"/>
          <w:numId w:val="1003"/>
        </w:numPr>
        <w:pStyle w:val="Compact"/>
      </w:pPr>
      <w:r>
        <w:t xml:space="preserve">A dynamic digital dashboard visualizing ophthalmologist density, patient flow, and wait times across KL districts—accessible to MOH for real-time decision-making.</w:t>
      </w:r>
    </w:p>
    <w:p>
      <w:pPr>
        <w:numPr>
          <w:ilvl w:val="0"/>
          <w:numId w:val="1003"/>
        </w:numPr>
        <w:pStyle w:val="Compact"/>
      </w:pPr>
      <w:r>
        <w:t xml:space="preserve">Policy briefs proposing concrete actions: (a) Revised medical training quotas prioritizing public service commitments; (b) Subsidized transportation vouchers for low-income patients; (c) Teleophthalmology pilot programs in satellite clinics.</w:t>
      </w:r>
    </w:p>
    <w:p>
      <w:pPr>
        <w:numPr>
          <w:ilvl w:val="0"/>
          <w:numId w:val="1003"/>
        </w:numPr>
        <w:pStyle w:val="Compact"/>
      </w:pPr>
      <w:r>
        <w:t xml:space="preserve">A validated predictive model estimating KL’s ophthalmologist needs by 2035, accounting for aging trends and diabetes prevalence projections from the National Health Morbidity Survey.</w:t>
      </w:r>
    </w:p>
    <w:p>
      <w:pPr>
        <w:pStyle w:val="FirstParagraph"/>
      </w:pPr>
      <w:r>
        <w:t xml:space="preserve">These outcomes will position Kuala Lumpur as a pioneer in evidence-based healthcare planning within Southeast Asia. The proposed interventions could reduce average wait times by 30% and increase public service utilization among B40 households by 25%—directly advancing Malaysia’s Universal Health Coverage (UHC) goals.</w:t>
      </w:r>
    </w:p>
    <w:bookmarkEnd w:id="25"/>
    <w:bookmarkStart w:id="26" w:name="conclusion"/>
    <w:p>
      <w:pPr>
        <w:pStyle w:val="Heading2"/>
      </w:pPr>
      <w:r>
        <w:t xml:space="preserve">7. Conclusion</w:t>
      </w:r>
    </w:p>
    <w:p>
      <w:pPr>
        <w:pStyle w:val="FirstParagraph"/>
      </w:pPr>
      <w:r>
        <w:t xml:space="preserve">The scarcity of accessible, quality eye care in</w:t>
      </w:r>
      <w:r>
        <w:t xml:space="preserve"> </w:t>
      </w:r>
      <w:r>
        <w:rPr>
          <w:bCs/>
          <w:b/>
        </w:rPr>
        <w:t xml:space="preserve">Malaysia Kuala Lumpur</w:t>
      </w:r>
      <w:r>
        <w:t xml:space="preserve"> </w:t>
      </w:r>
      <w:r>
        <w:t xml:space="preserve">is a preventable crisis with profound human and economic costs. This</w:t>
      </w:r>
      <w:r>
        <w:t xml:space="preserve"> </w:t>
      </w:r>
      <w:r>
        <w:rPr>
          <w:bCs/>
          <w:b/>
        </w:rPr>
        <w:t xml:space="preserve">Research Proposal</w:t>
      </w:r>
      <w:r>
        <w:t xml:space="preserve"> </w:t>
      </w:r>
      <w:r>
        <w:t xml:space="preserve">offers a rigorous, multi-stakeholder approach to diagnose systemic flaws and co-create scalable solutions. By centering the role of the</w:t>
      </w:r>
      <w:r>
        <w:t xml:space="preserve"> </w:t>
      </w:r>
      <w:r>
        <w:rPr>
          <w:bCs/>
          <w:b/>
        </w:rPr>
        <w:t xml:space="preserve">Ophthalmologist</w:t>
      </w:r>
      <w:r>
        <w:t xml:space="preserve"> </w:t>
      </w:r>
      <w:r>
        <w:t xml:space="preserve">within KL’s unique urban health landscape, this project transcends mere data collection—it will catalyze policy shifts that protect vision, reduce healthcare inequity, and strengthen Malaysia’s reputation as a leader in sustainable eye care. We seek partnership with MOH Malaysia and private sector stakeholders to implement these findings before the next national health review cycle.</w:t>
      </w:r>
    </w:p>
    <w:bookmarkEnd w:id="26"/>
    <w:bookmarkStart w:id="27" w:name="references"/>
    <w:p>
      <w:pPr>
        <w:pStyle w:val="Heading2"/>
      </w:pPr>
      <w:r>
        <w:t xml:space="preserve">8. References</w:t>
      </w:r>
    </w:p>
    <w:p>
      <w:pPr>
        <w:numPr>
          <w:ilvl w:val="0"/>
          <w:numId w:val="1004"/>
        </w:numPr>
        <w:pStyle w:val="Compact"/>
      </w:pPr>
      <w:r>
        <w:t xml:space="preserve">Ministry of Health Malaysia (MOH). (2023). *National Eye Health Survey Report*. Kuala Lumpur: MOH Press.</w:t>
      </w:r>
    </w:p>
    <w:p>
      <w:pPr>
        <w:numPr>
          <w:ilvl w:val="0"/>
          <w:numId w:val="1004"/>
        </w:numPr>
        <w:pStyle w:val="Compact"/>
      </w:pPr>
      <w:r>
        <w:t xml:space="preserve">World Health Organization. (2021). *Global Guidelines for Ophthalmic Workforce Planning*. Geneva: WHO.</w:t>
      </w:r>
    </w:p>
    <w:p>
      <w:pPr>
        <w:numPr>
          <w:ilvl w:val="0"/>
          <w:numId w:val="1004"/>
        </w:numPr>
        <w:pStyle w:val="Compact"/>
      </w:pPr>
      <w:r>
        <w:t xml:space="preserve">Abdullah, N. M., et al. (2022). "Urban-Rural Disparities in Eye Care Access: A Kuala Lumpur Case Study." *Malaysian Journal of Public Health Medicine*, 22(1), 45-59.</w:t>
      </w:r>
    </w:p>
    <w:p>
      <w:pPr>
        <w:numPr>
          <w:ilvl w:val="0"/>
          <w:numId w:val="1004"/>
        </w:numPr>
        <w:pStyle w:val="Compact"/>
      </w:pPr>
      <w:r>
        <w:t xml:space="preserve">National Health and Morbidity Survey (NHMS) Malaysia. (2023). *Diabetes and Ocular Complications Report*. Kuala Lumpur: Department of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Shortages in Malaysia Kuala Lumpur</dc:title>
  <dc:creator/>
  <dc:language>en</dc:language>
  <cp:keywords/>
  <dcterms:created xsi:type="dcterms:W3CDTF">2026-07-21T14:38:05Z</dcterms:created>
  <dcterms:modified xsi:type="dcterms:W3CDTF">2026-07-21T14:38:05Z</dcterms:modified>
</cp:coreProperties>
</file>

<file path=docProps/custom.xml><?xml version="1.0" encoding="utf-8"?>
<Properties xmlns="http://schemas.openxmlformats.org/officeDocument/2006/custom-properties" xmlns:vt="http://schemas.openxmlformats.org/officeDocument/2006/docPropsVTypes"/>
</file>