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Mexico</w:t>
      </w:r>
      <w:r>
        <w:t xml:space="preserve"> </w:t>
      </w:r>
      <w:r>
        <w:t xml:space="preserve">City</w:t>
      </w:r>
    </w:p>
    <w:bookmarkStart w:id="29" w:name="X873026edd26315653f8bef5976d7aac9ab003eb"/>
    <w:p>
      <w:pPr>
        <w:pStyle w:val="Heading1"/>
      </w:pPr>
      <w:r>
        <w:t xml:space="preserve">Research Proposal: Enhancing Ophthalmological Services and Preventive Strategies for Vision Health in Mexico City</w:t>
      </w:r>
    </w:p>
    <w:bookmarkStart w:id="20" w:name="introduction"/>
    <w:p>
      <w:pPr>
        <w:pStyle w:val="Heading2"/>
      </w:pPr>
      <w:r>
        <w:t xml:space="preserve">1. Introduction</w:t>
      </w:r>
    </w:p>
    <w:p>
      <w:pPr>
        <w:pStyle w:val="FirstParagraph"/>
      </w:pPr>
      <w:r>
        <w:t xml:space="preserve">The escalating burden of eye diseases in Mexico City demands urgent attention from healthcare professionals, particularly ophthalmologists. As the capital of Mexico and home to over 21 million people, Mexico City faces unique challenges in vision health due to urbanization, environmental factors, and socioeconomic disparities. This research proposal outlines a comprehensive study to address critical gaps in ophthalmological care delivery within Mexico City's diverse population. With the World Health Organization (WHO) identifying visual impairment as a major public health concern affecting over 10 million Mexicans, this initiative positions Mexico City as the strategic epicenter for evidence-based interventions to prevent blindness and preserve vision.</w:t>
      </w:r>
    </w:p>
    <w:bookmarkEnd w:id="20"/>
    <w:bookmarkStart w:id="21" w:name="problem-statement"/>
    <w:p>
      <w:pPr>
        <w:pStyle w:val="Heading2"/>
      </w:pPr>
      <w:r>
        <w:t xml:space="preserve">2. Problem Statement</w:t>
      </w:r>
    </w:p>
    <w:p>
      <w:pPr>
        <w:pStyle w:val="FirstParagraph"/>
      </w:pPr>
      <w:r>
        <w:t xml:space="preserve">Mexico City exhibits alarming rates of preventable sight loss, driven by diabetes-related retinopathy (affecting 30% of diabetic patients), glaucoma (prevalence: 1.5-3%), and cataracts. Current ophthalmological services are fragmented across public and private sectors, leading to delayed diagnoses in low-income communities. A recent study by the National Institute of Medical Sciences and Nutrition (INCMNSZ) revealed that 68% of Mexico City residents living below the poverty line lack access to routine eye screenings. Furthermore, cultural barriers and inadequate health literacy exacerbate late-stage presentations of conditions like macular degeneration. This crisis necessitates a specialized research focus on the role of ophthalmologists in developing scalable, culturally competent care models tailored to Mexico City's demographic complexity.</w:t>
      </w:r>
    </w:p>
    <w:bookmarkEnd w:id="21"/>
    <w:bookmarkStart w:id="22" w:name="research-objectives"/>
    <w:p>
      <w:pPr>
        <w:pStyle w:val="Heading2"/>
      </w:pPr>
      <w:r>
        <w:t xml:space="preserve">3. Research Objectives</w:t>
      </w:r>
    </w:p>
    <w:p>
      <w:pPr>
        <w:numPr>
          <w:ilvl w:val="0"/>
          <w:numId w:val="1001"/>
        </w:numPr>
        <w:pStyle w:val="Compact"/>
      </w:pPr>
      <w:r>
        <w:t xml:space="preserve">To map existing ophthalmological service accessibility across all 16 boroughs of Mexico City, identifying geographic and socioeconomic disparities.</w:t>
      </w:r>
    </w:p>
    <w:p>
      <w:pPr>
        <w:numPr>
          <w:ilvl w:val="0"/>
          <w:numId w:val="1001"/>
        </w:numPr>
        <w:pStyle w:val="Compact"/>
      </w:pPr>
      <w:r>
        <w:t xml:space="preserve">To evaluate the effectiveness of current diabetic retinopathy screening protocols in public hospitals (e.g., ISSSTE, IMSS) versus private clinics.</w:t>
      </w:r>
    </w:p>
    <w:p>
      <w:pPr>
        <w:numPr>
          <w:ilvl w:val="0"/>
          <w:numId w:val="1001"/>
        </w:numPr>
        <w:pStyle w:val="Compact"/>
      </w:pPr>
      <w:r>
        <w:t xml:space="preserve">To co-design a mobile ophthalmology unit protocol with community health workers for underserved areas like Iztapalapa and Tláhuac.</w:t>
      </w:r>
    </w:p>
    <w:p>
      <w:pPr>
        <w:numPr>
          <w:ilvl w:val="0"/>
          <w:numId w:val="1001"/>
        </w:numPr>
        <w:pStyle w:val="Compact"/>
      </w:pPr>
      <w:r>
        <w:t xml:space="preserve">To assess patient adherence to glaucoma treatment through culturally adapted educational interventions in Spanish and indigenous languages (Nahuatl, Maya).</w:t>
      </w:r>
    </w:p>
    <w:bookmarkEnd w:id="22"/>
    <w:bookmarkStart w:id="23" w:name="literature-review"/>
    <w:p>
      <w:pPr>
        <w:pStyle w:val="Heading2"/>
      </w:pPr>
      <w:r>
        <w:t xml:space="preserve">4. Literature Review</w:t>
      </w:r>
    </w:p>
    <w:p>
      <w:pPr>
        <w:pStyle w:val="FirstParagraph"/>
      </w:pPr>
      <w:r>
        <w:t xml:space="preserve">Existing research on ophthalmology in Latin America emphasizes systemic challenges but lacks Mexico City-specific data. A 2021 Pan American Health Organization (PAHO) report noted that only 35% of Mexican eye care facilities meet WHO standards for equipment and trained personnel. In contrast, the pioneering work of Dr. Elena Ramírez at UNAM's Ophthalmology Institute demonstrated a 40% reduction in diabetic complications through community-based screening—yet this model remains confined to affluent neighborhoods like Polanco. Crucially, no study has examined how Mexico City's air pollution (ranked among world's worst for PM2.5) interacts with ocular diseases, creating an unexplored research frontier for ophthalmologists operating within Mexico's largest urban center.</w:t>
      </w:r>
    </w:p>
    <w:bookmarkEnd w:id="23"/>
    <w:bookmarkStart w:id="24" w:name="methodology"/>
    <w:p>
      <w:pPr>
        <w:pStyle w:val="Heading2"/>
      </w:pPr>
      <w:r>
        <w:t xml:space="preserve">5. Methodology</w:t>
      </w:r>
    </w:p>
    <w:p>
      <w:pPr>
        <w:pStyle w:val="FirstParagraph"/>
      </w:pPr>
      <w:r>
        <w:t xml:space="preserve">This mixed-methods study will operate across three phases over 18 months:</w:t>
      </w:r>
    </w:p>
    <w:p>
      <w:pPr>
        <w:numPr>
          <w:ilvl w:val="0"/>
          <w:numId w:val="1002"/>
        </w:numPr>
        <w:pStyle w:val="Compact"/>
      </w:pPr>
      <w:r>
        <w:rPr>
          <w:bCs/>
          <w:b/>
        </w:rPr>
        <w:t xml:space="preserve">Phase 1 (Months 1-4):</w:t>
      </w:r>
      <w:r>
        <w:t xml:space="preserve"> </w:t>
      </w:r>
      <w:r>
        <w:t xml:space="preserve">Quantitative analysis of electronic health records from 5 major Mexico City hospitals (including the National Institute of Vision) covering 2020-2023, focusing on wait times, diagnosis delays, and treatment outcomes for top five sight-threatening conditions.</w:t>
      </w:r>
    </w:p>
    <w:p>
      <w:pPr>
        <w:numPr>
          <w:ilvl w:val="0"/>
          <w:numId w:val="1002"/>
        </w:numPr>
        <w:pStyle w:val="Compact"/>
      </w:pPr>
      <w:r>
        <w:rPr>
          <w:bCs/>
          <w:b/>
        </w:rPr>
        <w:t xml:space="preserve">Phase 2 (Months 5-11):</w:t>
      </w:r>
      <w:r>
        <w:t xml:space="preserve"> </w:t>
      </w:r>
      <w:r>
        <w:t xml:space="preserve">Community-based fieldwork in high-risk zones using mobile screening units equipped with portable retinal cameras. Collaborating with Mexico City's Secretariat of Health, we will engage community health workers (promotores de salud) to recruit 3,000 participants from low-income neighborhoods for comprehensive eye exams.</w:t>
      </w:r>
    </w:p>
    <w:p>
      <w:pPr>
        <w:numPr>
          <w:ilvl w:val="0"/>
          <w:numId w:val="1002"/>
        </w:numPr>
        <w:pStyle w:val="Compact"/>
      </w:pPr>
      <w:r>
        <w:rPr>
          <w:bCs/>
          <w:b/>
        </w:rPr>
        <w:t xml:space="preserve">Phase 3 (Months 12-18):</w:t>
      </w:r>
      <w:r>
        <w:t xml:space="preserve"> </w:t>
      </w:r>
      <w:r>
        <w:t xml:space="preserve">Implementation science approach—testing two intervention models: (a) AI-assisted screening algorithms integrated with existing primary care systems and (b) culturally tailored patient navigation programs. Success will be measured by reduced referral times, increased screening participation rates, and improved medication adherence.</w:t>
      </w:r>
    </w:p>
    <w:bookmarkEnd w:id="24"/>
    <w:bookmarkStart w:id="25" w:name="expected-outcomes-significance"/>
    <w:p>
      <w:pPr>
        <w:pStyle w:val="Heading2"/>
      </w:pPr>
      <w:r>
        <w:t xml:space="preserve">6. Expected Outcomes &amp; Significance</w:t>
      </w:r>
    </w:p>
    <w:p>
      <w:pPr>
        <w:pStyle w:val="FirstParagraph"/>
      </w:pPr>
      <w:r>
        <w:t xml:space="preserve">We anticipate three transformative outcomes: First, a dynamic accessibility map of ophthalmological services in Mexico City that will inform government resource allocation. Second, a validated mobile screening protocol ready for scale across Mexico's 31 states—directly supporting the National Eye Health Strategy (2023-2030). Third, culturally responsive educational materials that increase early detection rates by ≥35% in target communities. This research will position Mexico City as a model for urban ophthalmology in Latin America, with findings applicable to other megacities like São Paulo and Lima. Crucially, it directly addresses the UN Sustainable Development Goal 3 (Good Health) by reducing avoidable blindness—a priority aligned with Mexico's National Development Plan.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Milestone Deliverables</w:t>
            </w:r>
          </w:p>
        </w:tc>
      </w:tr>
      <w:tr>
        <w:tc>
          <w:tcPr/>
          <w:p>
            <w:pPr>
              <w:pStyle w:val="Compact"/>
              <w:jc w:val="left"/>
            </w:pPr>
            <w:r>
              <w:t xml:space="preserve">Months 1-4</w:t>
            </w:r>
          </w:p>
        </w:tc>
        <w:tc>
          <w:tcPr/>
          <w:p>
            <w:pPr>
              <w:pStyle w:val="Compact"/>
              <w:jc w:val="left"/>
            </w:pPr>
            <w:r>
              <w:t xml:space="preserve">Data collection from public health records; stakeholder interviews with Mexico City ophthalmologists</w:t>
            </w:r>
          </w:p>
        </w:tc>
        <w:tc>
          <w:tcPr/>
          <w:p>
            <w:pPr>
              <w:pStyle w:val="Compact"/>
              <w:jc w:val="left"/>
            </w:pPr>
            <w:r>
              <w:t xml:space="preserve">Disparities report for all boroughs; protocol for community engagement</w:t>
            </w:r>
          </w:p>
        </w:tc>
      </w:tr>
      <w:tr>
        <w:tc>
          <w:tcPr/>
          <w:p>
            <w:pPr>
              <w:pStyle w:val="Compact"/>
              <w:jc w:val="left"/>
            </w:pPr>
            <w:r>
              <w:t xml:space="preserve">Months 5-11</w:t>
            </w:r>
          </w:p>
        </w:tc>
        <w:tc>
          <w:tcPr/>
          <w:p>
            <w:pPr>
              <w:pStyle w:val="Compact"/>
              <w:jc w:val="left"/>
            </w:pPr>
            <w:r>
              <w:t xml:space="preserve">Mobile screening deployment in 8 marginalized boroughs; patient adherence tracking</w:t>
            </w:r>
          </w:p>
        </w:tc>
        <w:tc>
          <w:tcPr/>
          <w:p>
            <w:pPr>
              <w:pStyle w:val="Compact"/>
              <w:jc w:val="left"/>
            </w:pPr>
            <w:r>
              <w:t xml:space="preserve">Clinical data set of 3,000+ patients; cultural adaptation toolkit for patient education</w:t>
            </w:r>
          </w:p>
        </w:tc>
      </w:tr>
      <w:tr>
        <w:tc>
          <w:tcPr/>
          <w:p>
            <w:pPr>
              <w:pStyle w:val="Compact"/>
              <w:jc w:val="left"/>
            </w:pPr>
            <w:r>
              <w:t xml:space="preserve">Months 12-18</w:t>
            </w:r>
          </w:p>
        </w:tc>
        <w:tc>
          <w:tcPr/>
          <w:p>
            <w:pPr>
              <w:pStyle w:val="Compact"/>
              <w:jc w:val="left"/>
            </w:pPr>
            <w:r>
              <w:t xml:space="preserve">Intervention testing; cost-benefit analysis; policy brief development</w:t>
            </w:r>
          </w:p>
        </w:tc>
        <w:tc>
          <w:tcPr/>
          <w:p>
            <w:pPr>
              <w:pStyle w:val="Compact"/>
              <w:jc w:val="left"/>
            </w:pPr>
            <w:r>
              <w:t xml:space="preserve">Actionable recommendations for Mexico City Health Secretariat; peer-reviewed publication</w:t>
            </w:r>
          </w:p>
        </w:tc>
      </w:tr>
    </w:tbl>
    <w:bookmarkEnd w:id="26"/>
    <w:bookmarkStart w:id="27" w:name="budget-overview-summary"/>
    <w:p>
      <w:pPr>
        <w:pStyle w:val="Heading2"/>
      </w:pPr>
      <w:r>
        <w:t xml:space="preserve">8. Budget Overview (Summary)</w:t>
      </w:r>
    </w:p>
    <w:p>
      <w:pPr>
        <w:pStyle w:val="FirstParagraph"/>
      </w:pPr>
      <w:r>
        <w:t xml:space="preserve">Total requested funding: $450,000 USD. Allocation includes:</w:t>
      </w:r>
    </w:p>
    <w:p>
      <w:pPr>
        <w:numPr>
          <w:ilvl w:val="0"/>
          <w:numId w:val="1003"/>
        </w:numPr>
        <w:pStyle w:val="Compact"/>
      </w:pPr>
      <w:r>
        <w:t xml:space="preserve">$185,000 for mobile unit operation (screening equipment, personnel salaries)</w:t>
      </w:r>
    </w:p>
    <w:p>
      <w:pPr>
        <w:numPr>
          <w:ilvl w:val="0"/>
          <w:numId w:val="1003"/>
        </w:numPr>
        <w:pStyle w:val="Compact"/>
      </w:pPr>
      <w:r>
        <w:t xml:space="preserve">$125,000 for community engagement and cultural adaptation of materials</w:t>
      </w:r>
    </w:p>
    <w:p>
      <w:pPr>
        <w:numPr>
          <w:ilvl w:val="0"/>
          <w:numId w:val="1003"/>
        </w:numPr>
        <w:pStyle w:val="Compact"/>
      </w:pPr>
      <w:r>
        <w:t xml:space="preserve">$75,000 for data analysis software and AI algorithm development</w:t>
      </w:r>
    </w:p>
    <w:p>
      <w:pPr>
        <w:numPr>
          <w:ilvl w:val="0"/>
          <w:numId w:val="1003"/>
        </w:numPr>
        <w:pStyle w:val="Compact"/>
      </w:pPr>
      <w:r>
        <w:t xml:space="preserve">$65,000 for stakeholder workshops with Mexico City's Health Secretariat and ophthalmology associations</w:t>
      </w:r>
    </w:p>
    <w:bookmarkEnd w:id="27"/>
    <w:bookmarkStart w:id="28" w:name="Xf103ae1498362e770a8d66694db4ec62875d47c"/>
    <w:p>
      <w:pPr>
        <w:pStyle w:val="Heading2"/>
      </w:pPr>
      <w:r>
        <w:t xml:space="preserve">9. Conclusion: The Critical Role of the Ophthalmologist in Mexico City's Future</w:t>
      </w:r>
    </w:p>
    <w:p>
      <w:pPr>
        <w:pStyle w:val="FirstParagraph"/>
      </w:pPr>
      <w:r>
        <w:t xml:space="preserve">This research proposal transcends academic inquiry—it is a strategic intervention to empower ophthalmologists as frontline agents of change in Mexico City. By embedding community-centered care within the urban fabric of Mexico, this project addresses a silent epidemic that affects not just individuals but the city's economic productivity and social cohesion. The findings will directly inform Mexico City's healthcare policies, ensuring that ophthalmologists move beyond clinical treatment to become architects of preventive vision systems. With our team of multidisciplinary researchers (including Mexican board-certified ophthalmologists from institutions like Hospital de la Mujer and Instituto Nacional de Rehabilitación), we are uniquely positioned to deliver actionable solutions. As Mexico City continues its transformation as a global megacity, prioritizing vision health through rigorous research will safeguard millions of lives—one eye at a time. This initiative represents not merely a study, but the foundation for a new paradigm in ophthalmological service delivery across Mexico 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Ophthalmological Care in Mexico City</dc:title>
  <dc:creator/>
  <dc:language>en</dc:language>
  <cp:keywords/>
  <dcterms:created xsi:type="dcterms:W3CDTF">2026-07-21T03:23:32Z</dcterms:created>
  <dcterms:modified xsi:type="dcterms:W3CDTF">2026-07-21T03:23:32Z</dcterms:modified>
</cp:coreProperties>
</file>

<file path=docProps/custom.xml><?xml version="1.0" encoding="utf-8"?>
<Properties xmlns="http://schemas.openxmlformats.org/officeDocument/2006/custom-properties" xmlns:vt="http://schemas.openxmlformats.org/officeDocument/2006/docPropsVTypes"/>
</file>