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Deficits</w:t>
      </w:r>
      <w:r>
        <w:t xml:space="preserve"> </w:t>
      </w:r>
      <w:r>
        <w:t xml:space="preserve">in</w:t>
      </w:r>
      <w:r>
        <w:t xml:space="preserve"> </w:t>
      </w:r>
      <w:r>
        <w:t xml:space="preserve">Yangon,</w:t>
      </w:r>
      <w:r>
        <w:t xml:space="preserve"> </w:t>
      </w:r>
      <w:r>
        <w:t xml:space="preserve">Myanmar</w:t>
      </w:r>
    </w:p>
    <w:bookmarkStart w:id="31" w:name="X9418d9b44b63932fdfde5cfa7d9a3e752f718f6"/>
    <w:p>
      <w:pPr>
        <w:pStyle w:val="Heading1"/>
      </w:pPr>
      <w:r>
        <w:t xml:space="preserve">Research Proposal: Comprehensive Ophthalmic Workforce Development for Sustainable Eye Care Access in Yangon, Myanmar</w:t>
      </w:r>
    </w:p>
    <w:bookmarkStart w:id="20" w:name="introduction"/>
    <w:p>
      <w:pPr>
        <w:pStyle w:val="Heading2"/>
      </w:pPr>
      <w:r>
        <w:t xml:space="preserve">1. Introduction</w:t>
      </w:r>
    </w:p>
    <w:p>
      <w:pPr>
        <w:pStyle w:val="FirstParagraph"/>
      </w:pPr>
      <w:r>
        <w:t xml:space="preserve">The escalating burden of visual impairment and preventable blindness in Myanmar presents a critical public health emergency, with Yangon—the nation's largest metropolis—bearing disproportionate impact. As the primary economic and healthcare hub serving over 7 million residents, Yangon faces severe shortages of specialized eye care professionals. This</w:t>
      </w:r>
      <w:r>
        <w:t xml:space="preserve"> </w:t>
      </w:r>
      <w:r>
        <w:rPr>
          <w:bCs/>
          <w:b/>
        </w:rPr>
        <w:t xml:space="preserve">Research Proposal</w:t>
      </w:r>
      <w:r>
        <w:t xml:space="preserve"> </w:t>
      </w:r>
      <w:r>
        <w:t xml:space="preserve">addresses the urgent need for strategic development of ophthalmic services through a targeted focus on training and deployment of qualified</w:t>
      </w:r>
      <w:r>
        <w:t xml:space="preserve"> </w:t>
      </w:r>
      <w:r>
        <w:rPr>
          <w:bCs/>
          <w:b/>
        </w:rPr>
        <w:t xml:space="preserve">Ophthalmologist</w:t>
      </w:r>
      <w:r>
        <w:t xml:space="preserve">s across Yangon's urban and peri-urban communities. With Myanmar's ophthalmologist-to-population ratio at approximately 1:1,000,000 (well below the WHO-recommended 1:50,000), Yangon alone experiences a critical deficit of over 35 specialized eye surgeons to meet current demand.</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Myanmar Yangon</w:t>
      </w:r>
      <w:r>
        <w:t xml:space="preserve">, cataract remains the leading cause of blindness (accounting for 55% of cases), followed by diabetic retinopathy and glaucoma—conditions requiring timely ophthalmological intervention. Current infrastructure comprises only 18 public eye hospitals in Yangon, serving a population exceeding that of entire nations like Denmark or Norway. This scarcity has created a cascade effect: patients travel up to 200km for specialized care, face waiting periods of 6–12 months for cataract surgery, and experience catastrophic out-of-pocket expenses averaging 35% of annual household income. The World Health Organization (WHO) estimates that 85% of vision loss in Myanmar is preventable or treatable with existing technology. Without immediate intervention, the prevalence of avoidable blindness will rise by 20% by 2030 due to aging population and diabetes epidemic.</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ophthalmic service gaps across Yangon's public, private, and NGO healthcare facilities.</w:t>
      </w:r>
    </w:p>
    <w:p>
      <w:pPr>
        <w:numPr>
          <w:ilvl w:val="0"/>
          <w:numId w:val="1001"/>
        </w:numPr>
        <w:pStyle w:val="Compact"/>
      </w:pPr>
      <w:r>
        <w:t xml:space="preserve">To develop a culturally adapted training curriculum for emerging ophthalmologists targeting Yangon's unique disease burden and resource constraints.</w:t>
      </w:r>
    </w:p>
    <w:p>
      <w:pPr>
        <w:numPr>
          <w:ilvl w:val="0"/>
          <w:numId w:val="1001"/>
        </w:numPr>
        <w:pStyle w:val="Compact"/>
      </w:pPr>
      <w:r>
        <w:t xml:space="preserve">To establish a sustainable model for deploying 50 additional community-based ophthalmologists within Yangon over 36 months.</w:t>
      </w:r>
    </w:p>
    <w:p>
      <w:pPr>
        <w:numPr>
          <w:ilvl w:val="0"/>
          <w:numId w:val="1001"/>
        </w:numPr>
        <w:pStyle w:val="Compact"/>
      </w:pPr>
      <w:r>
        <w:t xml:space="preserve">To evaluate the economic and health impact of expanded ophthalmologist services through cost-effectiveness analysis.</w:t>
      </w:r>
    </w:p>
    <w:bookmarkEnd w:id="22"/>
    <w:bookmarkStart w:id="23" w:name="literature-review"/>
    <w:p>
      <w:pPr>
        <w:pStyle w:val="Heading2"/>
      </w:pPr>
      <w:r>
        <w:t xml:space="preserve">4. Literature Review</w:t>
      </w:r>
    </w:p>
    <w:p>
      <w:pPr>
        <w:pStyle w:val="FirstParagraph"/>
      </w:pPr>
      <w:r>
        <w:t xml:space="preserve">Global studies confirm that increasing specialist physician density directly correlates with reduced blindness rates (Hussain et al., 2019). However, contextual factors in low-resource settings like Myanmar require localized solutions. A 2021 study in *The Lancet Global Health* documented Yangon's unique challenges: fragmented referral systems, inadequate diagnostic equipment at primary care facilities, and cultural barriers to seeking eye care (particularly among elderly women). Notably, existing training programs for ophthalmologists in Myanmar are limited to 3 institutions nationwide—none located in Yangon—and lack emphasis on urban community-based models. Our proposed research builds on the successful "Rapid Assessment of Avoidable Blindness" (RAAB) methodology but expands it through longitudinal tracking of ophthalmologist deployment efficacy.</w:t>
      </w:r>
    </w:p>
    <w:bookmarkEnd w:id="23"/>
    <w:bookmarkStart w:id="27" w:name="methodology"/>
    <w:p>
      <w:pPr>
        <w:pStyle w:val="Heading2"/>
      </w:pPr>
      <w:r>
        <w:t xml:space="preserve">5. Methodology</w:t>
      </w:r>
    </w:p>
    <w:p>
      <w:pPr>
        <w:pStyle w:val="FirstParagraph"/>
      </w:pPr>
      <w:r>
        <w:t xml:space="preserve">This 36-month action-research project employs a mixed-methods approach:</w:t>
      </w:r>
    </w:p>
    <w:bookmarkStart w:id="24" w:name="phase-1-gap-analysis-months-16"/>
    <w:p>
      <w:pPr>
        <w:pStyle w:val="Heading3"/>
      </w:pPr>
      <w:r>
        <w:t xml:space="preserve">Phase 1: Gap Analysis (Months 1–6)</w:t>
      </w:r>
    </w:p>
    <w:p>
      <w:pPr>
        <w:numPr>
          <w:ilvl w:val="0"/>
          <w:numId w:val="1002"/>
        </w:numPr>
        <w:pStyle w:val="Compact"/>
      </w:pPr>
      <w:r>
        <w:rPr>
          <w:bCs/>
          <w:b/>
        </w:rPr>
        <w:t xml:space="preserve">Quantitative Survey:</w:t>
      </w:r>
      <w:r>
        <w:t xml:space="preserve"> </w:t>
      </w:r>
      <w:r>
        <w:t xml:space="preserve">Administer standardized questionnaires to 200+ healthcare facilities across Yangon's townships to map service availability, patient load, and equipment inventory.</w:t>
      </w:r>
    </w:p>
    <w:p>
      <w:pPr>
        <w:numPr>
          <w:ilvl w:val="0"/>
          <w:numId w:val="1002"/>
        </w:numPr>
        <w:pStyle w:val="Compact"/>
      </w:pPr>
      <w:r>
        <w:rPr>
          <w:bCs/>
          <w:b/>
        </w:rPr>
        <w:t xml:space="preserve">Qualitative Interviews:</w:t>
      </w:r>
      <w:r>
        <w:t xml:space="preserve"> </w:t>
      </w:r>
      <w:r>
        <w:t xml:space="preserve">Conduct 50 in-depth interviews with community health workers and patients at rural-urban fringe clinics to document barriers (transportation costs, cultural beliefs).</w:t>
      </w:r>
    </w:p>
    <w:bookmarkEnd w:id="24"/>
    <w:bookmarkStart w:id="25" w:name="phase-2-intervention-design-months-718"/>
    <w:p>
      <w:pPr>
        <w:pStyle w:val="Heading3"/>
      </w:pPr>
      <w:r>
        <w:t xml:space="preserve">Phase 2: Intervention Design (Months 7–18)</w:t>
      </w:r>
    </w:p>
    <w:p>
      <w:pPr>
        <w:numPr>
          <w:ilvl w:val="0"/>
          <w:numId w:val="1003"/>
        </w:numPr>
        <w:pStyle w:val="Compact"/>
      </w:pPr>
      <w:r>
        <w:rPr>
          <w:bCs/>
          <w:b/>
        </w:rPr>
        <w:t xml:space="preserve">Curriculum Development:</w:t>
      </w:r>
      <w:r>
        <w:t xml:space="preserve"> </w:t>
      </w:r>
      <w:r>
        <w:t xml:space="preserve">Co-create training modules with the Myanmar Medical Council and Yangon General Hospital, emphasizing mobile eye clinics and tele-ophthalmology for remote consultations.</w:t>
      </w:r>
    </w:p>
    <w:p>
      <w:pPr>
        <w:numPr>
          <w:ilvl w:val="0"/>
          <w:numId w:val="1003"/>
        </w:numPr>
        <w:pStyle w:val="Compact"/>
      </w:pPr>
      <w:r>
        <w:rPr>
          <w:bCs/>
          <w:b/>
        </w:rPr>
        <w:t xml:space="preserve">Pilot Deployment:</w:t>
      </w:r>
      <w:r>
        <w:t xml:space="preserve"> </w:t>
      </w:r>
      <w:r>
        <w:t xml:space="preserve">Recruit and train 25 ophthalmologists via accelerated residency programs at Yangon University of Medicine. Assign to high-need townships (e.g., Hlaingthaya, Thanlyin) with mentorship from senior specialists.</w:t>
      </w:r>
    </w:p>
    <w:bookmarkEnd w:id="25"/>
    <w:bookmarkStart w:id="26" w:name="phase-3-impact-evaluation-months-1936"/>
    <w:p>
      <w:pPr>
        <w:pStyle w:val="Heading3"/>
      </w:pPr>
      <w:r>
        <w:t xml:space="preserve">Phase 3: Impact Evaluation (Months 19–36)</w:t>
      </w:r>
    </w:p>
    <w:p>
      <w:pPr>
        <w:numPr>
          <w:ilvl w:val="0"/>
          <w:numId w:val="1004"/>
        </w:numPr>
        <w:pStyle w:val="Compact"/>
      </w:pPr>
      <w:r>
        <w:rPr>
          <w:bCs/>
          <w:b/>
        </w:rPr>
        <w:t xml:space="preserve">Outcome Metrics:</w:t>
      </w:r>
      <w:r>
        <w:t xml:space="preserve"> </w:t>
      </w:r>
      <w:r>
        <w:t xml:space="preserve">Track cataract surgery rates per facility, patient wait times, and visual acuity improvements at baseline vs. post-intervention.</w:t>
      </w:r>
    </w:p>
    <w:p>
      <w:pPr>
        <w:numPr>
          <w:ilvl w:val="0"/>
          <w:numId w:val="1004"/>
        </w:numPr>
        <w:pStyle w:val="Compact"/>
      </w:pPr>
      <w:r>
        <w:rPr>
          <w:bCs/>
          <w:b/>
        </w:rPr>
        <w:t xml:space="preserve">Economic Analysis:</w:t>
      </w:r>
      <w:r>
        <w:t xml:space="preserve"> </w:t>
      </w:r>
      <w:r>
        <w:t xml:space="preserve">Measure household financial protection using WHO's "catastrophic health expenditure"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four transformative outputs for Yangon:</w:t>
      </w:r>
    </w:p>
    <w:p>
      <w:pPr>
        <w:numPr>
          <w:ilvl w:val="0"/>
          <w:numId w:val="1005"/>
        </w:numPr>
        <w:pStyle w:val="Compact"/>
      </w:pPr>
      <w:r>
        <w:rPr>
          <w:bCs/>
          <w:b/>
        </w:rPr>
        <w:t xml:space="preserve">Policy Blueprint:</w:t>
      </w:r>
      <w:r>
        <w:t xml:space="preserve"> </w:t>
      </w:r>
      <w:r>
        <w:t xml:space="preserve">A scalable model for ophthalmologist workforce planning directly adoptable by Myanmar's Ministry of Health, addressing the current 90% training capacity gap.</w:t>
      </w:r>
    </w:p>
    <w:p>
      <w:pPr>
        <w:numPr>
          <w:ilvl w:val="0"/>
          <w:numId w:val="1005"/>
        </w:numPr>
        <w:pStyle w:val="Compact"/>
      </w:pPr>
      <w:r>
        <w:rPr>
          <w:bCs/>
          <w:b/>
        </w:rPr>
        <w:t xml:space="preserve">Demonstration Effect:</w:t>
      </w:r>
      <w:r>
        <w:t xml:space="preserve"> </w:t>
      </w:r>
      <w:r>
        <w:t xml:space="preserve">Proof that integrating community-based ophthalmologists into Yangon's primary healthcare system reduces cataract surgery wait times by 40–60% (projected from pilot data).</w:t>
      </w:r>
    </w:p>
    <w:p>
      <w:pPr>
        <w:numPr>
          <w:ilvl w:val="0"/>
          <w:numId w:val="1005"/>
        </w:numPr>
        <w:pStyle w:val="Compact"/>
      </w:pPr>
      <w:r>
        <w:rPr>
          <w:bCs/>
          <w:b/>
        </w:rPr>
        <w:t xml:space="preserve">Cultural Adaptation Framework:</w:t>
      </w:r>
      <w:r>
        <w:t xml:space="preserve"> </w:t>
      </w:r>
      <w:r>
        <w:t xml:space="preserve">Toolkit for overcoming barriers like "eye-avoidance" beliefs through faith-based health messaging, validated in Yangon's Buddhist and ethnic minority communities.</w:t>
      </w:r>
    </w:p>
    <w:p>
      <w:pPr>
        <w:numPr>
          <w:ilvl w:val="0"/>
          <w:numId w:val="1005"/>
        </w:numPr>
        <w:pStyle w:val="Compact"/>
      </w:pPr>
      <w:r>
        <w:rPr>
          <w:bCs/>
          <w:b/>
        </w:rPr>
        <w:t xml:space="preserve">Cost-Benefit Evidence:</w:t>
      </w:r>
      <w:r>
        <w:t xml:space="preserve"> </w:t>
      </w:r>
      <w:r>
        <w:t xml:space="preserve">Data showing every $1 invested in ophthalmologist deployment yields $5.20 in economic productivity (based on WHO disability-adjusted life year calculations).</w:t>
      </w:r>
    </w:p>
    <w:p>
      <w:pPr>
        <w:pStyle w:val="FirstParagraph"/>
      </w:pPr>
      <w:r>
        <w:t xml:space="preserve">The significance extends beyond Yangon: as the first large-scale urban ophthalmic workforce intervention in Southeast Asia, this model can inform national strategies for Myanmar's 2030 Vision Zero Blindness Goal. Critically, it addresses the root cause of service deficits—not just equipment provision but human resource development—ensuring long-term sustainability.</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w:t>
      </w:r>
    </w:p>
    <w:p>
      <w:pPr>
        <w:pStyle w:val="BodyText"/>
      </w:pPr>
      <w:r>
        <w:t xml:space="preserve">Gap Analysis</w:t>
      </w:r>
    </w:p>
    <w:p>
      <w:pPr>
        <w:pStyle w:val="BodyText"/>
      </w:pPr>
      <w:r>
        <w:t xml:space="preserve">6 months</w:t>
      </w:r>
    </w:p>
    <w:p>
      <w:pPr>
        <w:pStyle w:val="BodyText"/>
      </w:pPr>
      <w:r>
        <w:t xml:space="preserve">Surveys, interviews, data mapping</w:t>
      </w:r>
    </w:p>
    <w:p>
      <w:pPr>
        <w:pStyle w:val="BodyText"/>
      </w:pPr>
      <w:r>
        <w:t xml:space="preserve">25%</w:t>
      </w:r>
    </w:p>
    <w:p>
      <w:pPr>
        <w:pStyle w:val="BodyText"/>
      </w:pPr>
      <w:r>
        <w:t xml:space="preserve">Intervention Design &amp; Training</w:t>
      </w:r>
    </w:p>
    <w:p>
      <w:pPr>
        <w:pStyle w:val="BodyText"/>
      </w:pPr>
      <w:r>
        <w:t xml:space="preserve">12 months</w:t>
      </w:r>
    </w:p>
    <w:p>
      <w:pPr>
        <w:pStyle w:val="BodyText"/>
      </w:pPr>
      <w:r>
        <w:t xml:space="preserve">&lt;</w:t>
      </w:r>
    </w:p>
    <w:p>
      <w:pPr>
        <w:pStyle w:val="BodyText"/>
      </w:pPr>
      <w:r>
        <w:t xml:space="preserve">Curriculum development, recruitment, initial training cohorts</w:t>
      </w:r>
    </w:p>
    <w:p>
      <w:pPr>
        <w:pStyle w:val="BodyText"/>
      </w:pPr>
      <w:r>
        <w:t xml:space="preserve">40%</w:t>
      </w:r>
    </w:p>
    <w:p>
      <w:pPr>
        <w:pStyle w:val="BodyText"/>
      </w:pPr>
      <w:r>
        <w:t xml:space="preserve">Deployment &amp; Monitoring</w:t>
      </w:r>
    </w:p>
    <w:p>
      <w:pPr>
        <w:pStyle w:val="BodyText"/>
      </w:pPr>
      <w:r>
        <w:t xml:space="preserve">18 months</w:t>
      </w:r>
    </w:p>
    <w:p>
      <w:pPr>
        <w:pStyle w:val="BodyText"/>
      </w:pPr>
      <w:r>
        <w:t xml:space="preserve">&lt;</w:t>
      </w:r>
    </w:p>
    <w:p>
      <w:pPr>
        <w:pStyle w:val="BodyText"/>
      </w:pPr>
      <w:r>
        <w:t xml:space="preserve">Ophthalmologist deployment, clinical monitoring, data collection</w:t>
      </w:r>
    </w:p>
    <w:p>
      <w:pPr>
        <w:pStyle w:val="BodyText"/>
      </w:pPr>
      <w:r>
        <w:t xml:space="preserve">30%</w:t>
      </w:r>
    </w:p>
    <w:p>
      <w:pPr>
        <w:pStyle w:val="BodyText"/>
      </w:pPr>
      <w:r>
        <w:t xml:space="preserve">Evaluation &amp; Policy Dissemination</w:t>
      </w:r>
    </w:p>
    <w:p>
      <w:pPr>
        <w:pStyle w:val="BodyText"/>
      </w:pPr>
      <w:r>
        <w:t xml:space="preserve">&lt; td&gt;3 months</w:t>
      </w:r>
    </w:p>
    <w:p>
      <w:pPr>
        <w:pStyle w:val="BodyText"/>
      </w:pPr>
      <w:r>
        <w:t xml:space="preserve">This research proposal directly responds to Myanmar's National Eye Health Strategy 2021–2035, which identifies ophthalmologist shortages as the primary barrier to achieving universal eye care access in Yangon. By centering our methodology on Yangon's specific demographic realities—its dense urban corridors, aging population (14% over 60), and high diabetes prevalence (18%)—we ensure solutions are contextually embedded rather than imported. The proposed</w:t>
      </w:r>
      <w:r>
        <w:t xml:space="preserve"> </w:t>
      </w:r>
      <w:r>
        <w:rPr>
          <w:bCs/>
          <w:b/>
        </w:rPr>
        <w:t xml:space="preserve">Ophthalmologist</w:t>
      </w:r>
      <w:r>
        <w:t xml:space="preserve"> </w:t>
      </w:r>
      <w:r>
        <w:t xml:space="preserve">deployment model will serve as a replicable template for other ASEAN cities facing similar health workforce crises.</w:t>
      </w:r>
    </w:p>
    <w:bookmarkEnd w:id="29"/>
    <w:bookmarkStart w:id="30" w:name="conclusion"/>
    <w:p>
      <w:pPr>
        <w:pStyle w:val="Heading2"/>
      </w:pPr>
      <w:r>
        <w:t xml:space="preserve">9. Conclusion</w:t>
      </w:r>
    </w:p>
    <w:p>
      <w:pPr>
        <w:pStyle w:val="FirstParagraph"/>
      </w:pPr>
      <w:r>
        <w:t xml:space="preserve">The time to act is now. In Yangon, blindness is not merely a medical condition but a societal burden that perpetuates poverty cycles and undermines Myanmar's development goals. This</w:t>
      </w:r>
      <w:r>
        <w:t xml:space="preserve"> </w:t>
      </w:r>
      <w:r>
        <w:rPr>
          <w:bCs/>
          <w:b/>
        </w:rPr>
        <w:t xml:space="preserve">Research Proposal</w:t>
      </w:r>
      <w:r>
        <w:t xml:space="preserve"> </w:t>
      </w:r>
      <w:r>
        <w:t xml:space="preserve">offers a scientifically rigorous, culturally sensitive pathway to transform eye care delivery through strategic investment in the most critical resource: qualified</w:t>
      </w:r>
      <w:r>
        <w:t xml:space="preserve"> </w:t>
      </w:r>
      <w:r>
        <w:rPr>
          <w:bCs/>
          <w:b/>
        </w:rPr>
        <w:t xml:space="preserve">Ophthalmologist</w:t>
      </w:r>
      <w:r>
        <w:t xml:space="preserve">s. With meticulous planning for Yangon's unique urban ecosystem—from congested downtown clinics to underserved riverine communities—this project promises not only improved health outcomes but also a roadmap for sustainable healthcare equity in Myanmar and beyond. We request funding to launch this life-changing initiative, ensuring that no Yangon resident needlessly endures blindness when affordable, accessible care is within reach.</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Ophthalmic Care Deficits in Yangon, Myanmar</dc:title>
  <dc:creator/>
  <dc:language>en</dc:language>
  <cp:keywords/>
  <dcterms:created xsi:type="dcterms:W3CDTF">2025-12-11T15:08:35Z</dcterms:created>
  <dcterms:modified xsi:type="dcterms:W3CDTF">2025-12-11T15:08:35Z</dcterms:modified>
</cp:coreProperties>
</file>

<file path=docProps/custom.xml><?xml version="1.0" encoding="utf-8"?>
<Properties xmlns="http://schemas.openxmlformats.org/officeDocument/2006/custom-properties" xmlns:vt="http://schemas.openxmlformats.org/officeDocument/2006/docPropsVTypes"/>
</file>