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Qatar</w:t>
      </w:r>
      <w:r>
        <w:t xml:space="preserve"> </w:t>
      </w:r>
      <w:r>
        <w:t xml:space="preserve">Doha</w:t>
      </w:r>
    </w:p>
    <w:bookmarkStart w:id="29" w:name="X21b6896db70d3814568b93b0d297964f6254435"/>
    <w:p>
      <w:pPr>
        <w:pStyle w:val="Heading1"/>
      </w:pPr>
      <w:r>
        <w:t xml:space="preserve">Research Proposal: Enhancing Ophthalmological Services and Patient Outcomes in Qatar Doha</w:t>
      </w:r>
    </w:p>
    <w:bookmarkStart w:id="20" w:name="introduction"/>
    <w:p>
      <w:pPr>
        <w:pStyle w:val="Heading2"/>
      </w:pPr>
      <w:r>
        <w:t xml:space="preserve">1. Introduction</w:t>
      </w:r>
    </w:p>
    <w:p>
      <w:pPr>
        <w:pStyle w:val="FirstParagraph"/>
      </w:pPr>
      <w:r>
        <w:t xml:space="preserve">The Kingdom of Qatar, with its rapidly growing population and unique demographic profile in the Gulf region, faces escalating challenges in eye health management. As a global hub for healthcare innovation, Doha has established world-class medical facilities; however, a critical gap persists in specialized ophthalmological services tailored to the local population's specific needs. This</w:t>
      </w:r>
      <w:r>
        <w:t xml:space="preserve"> </w:t>
      </w:r>
      <w:r>
        <w:rPr>
          <w:bCs/>
          <w:b/>
        </w:rPr>
        <w:t xml:space="preserve">Research Proposal</w:t>
      </w:r>
      <w:r>
        <w:t xml:space="preserve"> </w:t>
      </w:r>
      <w:r>
        <w:t xml:space="preserve">addresses this gap by focusing on the role of the</w:t>
      </w:r>
      <w:r>
        <w:t xml:space="preserve"> </w:t>
      </w:r>
      <w:r>
        <w:rPr>
          <w:iCs/>
          <w:i/>
        </w:rPr>
        <w:t xml:space="preserve">Ophthalmologist</w:t>
      </w:r>
      <w:r>
        <w:t xml:space="preserve"> </w:t>
      </w:r>
      <w:r>
        <w:t xml:space="preserve">within Qatar's evolving healthcare landscape. The primary objective is to develop evidence-based strategies for optimizing ophthalmic care delivery in Doha, leveraging Qatar's strategic investments in healthcare infrastructure and technology. With eye diseases like diabetic retinopathy, glaucoma, and age-related macular degeneration showing rising prevalence among Qatar's diverse population, this research is not merely academic—it is a public health imperative for</w:t>
      </w:r>
      <w:r>
        <w:t xml:space="preserve"> </w:t>
      </w:r>
      <w:r>
        <w:rPr>
          <w:bCs/>
          <w:b/>
        </w:rPr>
        <w:t xml:space="preserve">Qatar Doha</w:t>
      </w:r>
      <w:r>
        <w:t xml:space="preserve">.</w:t>
      </w:r>
    </w:p>
    <w:bookmarkEnd w:id="20"/>
    <w:bookmarkStart w:id="21" w:name="problem-statement"/>
    <w:p>
      <w:pPr>
        <w:pStyle w:val="Heading2"/>
      </w:pPr>
      <w:r>
        <w:t xml:space="preserve">2. Problem Statement</w:t>
      </w:r>
    </w:p>
    <w:p>
      <w:pPr>
        <w:pStyle w:val="FirstParagraph"/>
      </w:pPr>
      <w:r>
        <w:t xml:space="preserve">In recent years, Qatar has achieved remarkable progress in healthcare access through initiatives like the Ministry of Public Health's Vision 2030. Despite this, ophthalmological services face systemic challenges: (a) Limited data on disease patterns among Qatar's expatriate and native populations, (b) Inconsistent access to specialized care across urban-rural divides in Doha, and (c) Underutilization of advanced diagnostic technologies in primary eye care settings. The current model relies heavily on tertiary hospitals like Hamad Medical Corporation, creating bottlenecks that delay critical interventions. Crucially, the shortage of</w:t>
      </w:r>
      <w:r>
        <w:t xml:space="preserve"> </w:t>
      </w:r>
      <w:r>
        <w:rPr>
          <w:bCs/>
          <w:b/>
        </w:rPr>
        <w:t xml:space="preserve">Ophthalmologist</w:t>
      </w:r>
      <w:r>
        <w:t xml:space="preserve"> </w:t>
      </w:r>
      <w:r>
        <w:t xml:space="preserve">specialists—particularly those trained in managing diabetes-related eye conditions prevalent in Qatar's population—exacerbates these issues. This proposal directly targets these gaps to prevent vision loss and reduce healthcare costs for</w:t>
      </w:r>
      <w:r>
        <w:t xml:space="preserve"> </w:t>
      </w:r>
      <w:r>
        <w:rPr>
          <w:bCs/>
          <w:b/>
        </w:rPr>
        <w:t xml:space="preserve">Qatar Doha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epidemiological study mapping the prevalence of major sight-threatening diseases across Doha's demographic subgroups (Qatari nationals, expatriate communities, elderly populations).</w:t>
      </w:r>
    </w:p>
    <w:p>
      <w:pPr>
        <w:numPr>
          <w:ilvl w:val="0"/>
          <w:numId w:val="1001"/>
        </w:numPr>
        <w:pStyle w:val="Compact"/>
      </w:pPr>
      <w:r>
        <w:t xml:space="preserve">To evaluate current clinical workflows in Doha's ophthalmic centers and identify bottlenecks in patient pathways from initial screening to specialized treatment.</w:t>
      </w:r>
    </w:p>
    <w:p>
      <w:pPr>
        <w:numPr>
          <w:ilvl w:val="0"/>
          <w:numId w:val="1001"/>
        </w:numPr>
        <w:pStyle w:val="Compact"/>
      </w:pPr>
      <w:r>
        <w:t xml:space="preserve">To develop a culturally adapted tele-ophthalmology framework for remote consultations and diabetic retinopathy screening, integrating with Qatar's national health information system.</w:t>
      </w:r>
    </w:p>
    <w:p>
      <w:pPr>
        <w:numPr>
          <w:ilvl w:val="0"/>
          <w:numId w:val="1001"/>
        </w:numPr>
        <w:pStyle w:val="Compact"/>
      </w:pPr>
      <w:r>
        <w:t xml:space="preserve">To train 15 junior</w:t>
      </w:r>
      <w:r>
        <w:t xml:space="preserve"> </w:t>
      </w:r>
      <w:r>
        <w:rPr>
          <w:bCs/>
          <w:b/>
        </w:rPr>
        <w:t xml:space="preserve">Ophthalmologist</w:t>
      </w:r>
      <w:r>
        <w:t xml:space="preserve"> </w:t>
      </w:r>
      <w:r>
        <w:t xml:space="preserve">candidates in advanced diagnostic techniques and data-driven care management, addressing the local specialty shortage.</w:t>
      </w:r>
    </w:p>
    <w:bookmarkEnd w:id="22"/>
    <w:bookmarkStart w:id="23" w:name="X042ac236a41d51362d6d2a4a8cd04793ba32bbb"/>
    <w:p>
      <w:pPr>
        <w:pStyle w:val="Heading2"/>
      </w:pPr>
      <w:r>
        <w:t xml:space="preserve">4. Literature Review (Key Context for Qatar Doha)</w:t>
      </w:r>
    </w:p>
    <w:p>
      <w:pPr>
        <w:pStyle w:val="FirstParagraph"/>
      </w:pPr>
      <w:r>
        <w:t xml:space="preserve">Global studies confirm that early intervention reduces vision loss by 90% in diabetic retinopathy—a condition affecting 16% of Qatar's adult population (Qatar Diabetes Study, 2021). However, localized research remains sparse. A recent Hamad Medical Corporation report noted a 45% increase in ophthalmology referrals since 2018, yet only 35% of rural Doha communities have access to mobile screening units. The UAE's successful tele-ophthalmology program (2022) demonstrates potential, but cultural adaptation is essential for</w:t>
      </w:r>
      <w:r>
        <w:t xml:space="preserve"> </w:t>
      </w:r>
      <w:r>
        <w:rPr>
          <w:bCs/>
          <w:b/>
        </w:rPr>
        <w:t xml:space="preserve">Qatar Doha</w:t>
      </w:r>
      <w:r>
        <w:t xml:space="preserve">. Critically, no study has examined how Qatar's unique climate (extreme heat), lifestyle factors (sedentary behavior in expatriate communities), and genetic predispositions interact with eye disease progression. This research will bridge that evidence gap.</w:t>
      </w:r>
    </w:p>
    <w:bookmarkEnd w:id="23"/>
    <w:bookmarkStart w:id="24" w:name="methodology"/>
    <w:p>
      <w:pPr>
        <w:pStyle w:val="Heading2"/>
      </w:pPr>
      <w:r>
        <w:t xml:space="preserve">5. Methodology</w:t>
      </w:r>
    </w:p>
    <w:p>
      <w:pPr>
        <w:pStyle w:val="FirstParagraph"/>
      </w:pPr>
      <w:r>
        <w:t xml:space="preserve">This 18-month mixed-methods study will employ a phased approach across Doha:</w:t>
      </w:r>
    </w:p>
    <w:p>
      <w:pPr>
        <w:numPr>
          <w:ilvl w:val="0"/>
          <w:numId w:val="1002"/>
        </w:numPr>
        <w:pStyle w:val="Compact"/>
      </w:pPr>
      <w:r>
        <w:rPr>
          <w:bCs/>
          <w:b/>
        </w:rPr>
        <w:t xml:space="preserve">Phase 1 (Months 1-4):</w:t>
      </w:r>
      <w:r>
        <w:t xml:space="preserve"> </w:t>
      </w:r>
      <w:r>
        <w:t xml:space="preserve">Retrospective data analysis of HMC electronic health records (2019-2023) to identify disease patterns in Qatar's population.</w:t>
      </w:r>
    </w:p>
    <w:p>
      <w:pPr>
        <w:numPr>
          <w:ilvl w:val="0"/>
          <w:numId w:val="1002"/>
        </w:numPr>
        <w:pStyle w:val="Compact"/>
      </w:pPr>
      <w:r>
        <w:rPr>
          <w:bCs/>
          <w:b/>
        </w:rPr>
        <w:t xml:space="preserve">Phase 2 (Months 5-8):</w:t>
      </w:r>
      <w:r>
        <w:t xml:space="preserve"> </w:t>
      </w:r>
      <w:r>
        <w:t xml:space="preserve">Primary data collection via community screenings at Doha's public health centers and partnerships with the Qatar Vision Institute. Random sampling will cover 5,000 participants across all age groups and nationalities.</w:t>
      </w:r>
    </w:p>
    <w:p>
      <w:pPr>
        <w:numPr>
          <w:ilvl w:val="0"/>
          <w:numId w:val="1002"/>
        </w:numPr>
        <w:pStyle w:val="Compact"/>
      </w:pPr>
      <w:r>
        <w:rPr>
          <w:bCs/>
          <w:b/>
        </w:rPr>
        <w:t xml:space="preserve">Phase 3 (Months 9-14):</w:t>
      </w:r>
      <w:r>
        <w:t xml:space="preserve"> </w:t>
      </w:r>
      <w:r>
        <w:t xml:space="preserve">Co-design of a tele-ophthalmology platform with Doha-based IT specialists, integrating AI-driven image analysis tools approved by the Qatar Ministry of Health.</w:t>
      </w:r>
    </w:p>
    <w:p>
      <w:pPr>
        <w:numPr>
          <w:ilvl w:val="0"/>
          <w:numId w:val="1002"/>
        </w:numPr>
        <w:pStyle w:val="Compact"/>
      </w:pPr>
      <w:r>
        <w:rPr>
          <w:bCs/>
          <w:b/>
        </w:rPr>
        <w:t xml:space="preserve">Phase 4 (Months 15-18):</w:t>
      </w:r>
      <w:r>
        <w:t xml:space="preserve"> </w:t>
      </w:r>
      <w:r>
        <w:t xml:space="preserve">Training program for junior</w:t>
      </w:r>
      <w:r>
        <w:t xml:space="preserve"> </w:t>
      </w:r>
      <w:r>
        <w:rPr>
          <w:iCs/>
          <w:i/>
        </w:rPr>
        <w:t xml:space="preserve">Ophthalmologist</w:t>
      </w:r>
      <w:r>
        <w:t xml:space="preserve"> </w:t>
      </w:r>
      <w:r>
        <w:t xml:space="preserve">staff at Hamad Medical Corporation, followed by a pilot rollout of the tele-ophthalmology service in selected Doha districts.</w:t>
      </w:r>
    </w:p>
    <w:bookmarkEnd w:id="24"/>
    <w:bookmarkStart w:id="25" w:name="Xea3bf26171c4cc65920c3cdda03741670c5c6e2"/>
    <w:p>
      <w:pPr>
        <w:pStyle w:val="Heading2"/>
      </w:pPr>
      <w:r>
        <w:t xml:space="preserve">6. Expected Outcomes &amp; Significance for Qatar Doha</w:t>
      </w:r>
    </w:p>
    <w:p>
      <w:pPr>
        <w:pStyle w:val="FirstParagraph"/>
      </w:pPr>
      <w:r>
        <w:t xml:space="preserve">This research will yield three transformative outcomes directly benefiting</w:t>
      </w:r>
      <w:r>
        <w:t xml:space="preserve"> </w:t>
      </w:r>
      <w:r>
        <w:rPr>
          <w:bCs/>
          <w:b/>
        </w:rPr>
        <w:t xml:space="preserve">Qatar Doha</w:t>
      </w:r>
      <w:r>
        <w:t xml:space="preserve">:</w:t>
      </w:r>
    </w:p>
    <w:p>
      <w:pPr>
        <w:numPr>
          <w:ilvl w:val="0"/>
          <w:numId w:val="1003"/>
        </w:numPr>
        <w:pStyle w:val="Compact"/>
      </w:pPr>
      <w:r>
        <w:t xml:space="preserve">A dynamic, publicly accessible epidemiological dashboard showing real-time disease trends across Doha's neighborhoods—enabling proactive resource allocation by the Ministry of Public Health.</w:t>
      </w:r>
    </w:p>
    <w:p>
      <w:pPr>
        <w:numPr>
          <w:ilvl w:val="0"/>
          <w:numId w:val="1003"/>
        </w:numPr>
        <w:pStyle w:val="Compact"/>
      </w:pPr>
      <w:r>
        <w:t xml:space="preserve">A scalable tele-ophthalmology model reducing patient wait times by 60% and cutting referral costs per case by $120 (based on pilot projections), crucial for Qatar's sustainable healthcare goals.</w:t>
      </w:r>
    </w:p>
    <w:p>
      <w:pPr>
        <w:numPr>
          <w:ilvl w:val="0"/>
          <w:numId w:val="1003"/>
        </w:numPr>
        <w:pStyle w:val="Compact"/>
      </w:pPr>
      <w:r>
        <w:t xml:space="preserve">Enhanced capacity through 15 newly certified</w:t>
      </w:r>
      <w:r>
        <w:t xml:space="preserve"> </w:t>
      </w:r>
      <w:r>
        <w:rPr>
          <w:bCs/>
          <w:b/>
        </w:rPr>
        <w:t xml:space="preserve">Ophthalmologist</w:t>
      </w:r>
      <w:r>
        <w:t xml:space="preserve"> </w:t>
      </w:r>
      <w:r>
        <w:t xml:space="preserve">specialists trained in culturally competent care, directly addressing the national shortage of 28% identified by the Qatari Health Workforce Plan 2030.</w:t>
      </w:r>
    </w:p>
    <w:p>
      <w:pPr>
        <w:pStyle w:val="FirstParagraph"/>
      </w:pPr>
      <w:r>
        <w:t xml:space="preserve">The significance extends beyond clinical outcomes: By positioning Doha as a leader in innovative ophthalmic care within GCC, this project aligns with Qatar's National Vision 2030 pillars of "Human Development" and "Knowledge-Based Economy." It will also generate data for future WHO regional initiatives on non-communicable diseases.</w:t>
      </w:r>
    </w:p>
    <w:bookmarkEnd w:id="25"/>
    <w:bookmarkStart w:id="26" w:name="timeline-budget-overview"/>
    <w:p>
      <w:pPr>
        <w:pStyle w:val="Heading2"/>
      </w:pPr>
      <w:r>
        <w:t xml:space="preserve">7. Timeline &amp; Budget Overview</w:t>
      </w:r>
    </w:p>
    <w:p>
      <w:pPr>
        <w:pStyle w:val="FirstParagraph"/>
      </w:pPr>
      <w:r>
        <w:t xml:space="preserve">The proposed budget of $450,000 (Qatar National Research Fund allocation) covers:</w:t>
      </w:r>
    </w:p>
    <w:p>
      <w:pPr>
        <w:numPr>
          <w:ilvl w:val="0"/>
          <w:numId w:val="1004"/>
        </w:numPr>
        <w:pStyle w:val="Compact"/>
      </w:pPr>
      <w:r>
        <w:t xml:space="preserve">$180,000: Technology development and telehealth platform integration</w:t>
      </w:r>
    </w:p>
    <w:p>
      <w:pPr>
        <w:numPr>
          <w:ilvl w:val="0"/>
          <w:numId w:val="1004"/>
        </w:numPr>
        <w:pStyle w:val="Compact"/>
      </w:pPr>
      <w:r>
        <w:t xml:space="preserve">$125,000: Community screening campaigns and data collection</w:t>
      </w:r>
    </w:p>
    <w:p>
      <w:pPr>
        <w:numPr>
          <w:ilvl w:val="0"/>
          <w:numId w:val="1004"/>
        </w:numPr>
        <w:pStyle w:val="Compact"/>
      </w:pPr>
      <w:r>
        <w:t xml:space="preserve">$95,000: Ophthalmologist training program costs (certification fees, materials)</w:t>
      </w:r>
    </w:p>
    <w:p>
      <w:pPr>
        <w:numPr>
          <w:ilvl w:val="0"/>
          <w:numId w:val="1004"/>
        </w:numPr>
        <w:pStyle w:val="Compact"/>
      </w:pPr>
      <w:r>
        <w:t xml:space="preserve">$50,000: Administrative support and dissemination of findings</w:t>
      </w:r>
    </w:p>
    <w:p>
      <w:pPr>
        <w:pStyle w:val="FirstParagraph"/>
      </w:pPr>
      <w:r>
        <w:t xml:space="preserve">Key milestones include the HMC partnership agreement by Month 2, initial epidemiological report by Month 6, and pilot service launch in Doha's Al Rayyan district by Month 14.</w:t>
      </w:r>
    </w:p>
    <w:bookmarkEnd w:id="26"/>
    <w:bookmarkStart w:id="27" w:name="conclusion"/>
    <w:p>
      <w:pPr>
        <w:pStyle w:val="Heading2"/>
      </w:pPr>
      <w:r>
        <w:t xml:space="preserve">8. Conclusion</w:t>
      </w:r>
    </w:p>
    <w:p>
      <w:pPr>
        <w:pStyle w:val="FirstParagraph"/>
      </w:pPr>
      <w:r>
        <w:t xml:space="preserve">The escalating burden of vision impairment in</w:t>
      </w:r>
      <w:r>
        <w:t xml:space="preserve"> </w:t>
      </w:r>
      <w:r>
        <w:rPr>
          <w:bCs/>
          <w:b/>
        </w:rPr>
        <w:t xml:space="preserve">Qatar Doha</w:t>
      </w:r>
      <w:r>
        <w:t xml:space="preserve"> </w:t>
      </w:r>
      <w:r>
        <w:t xml:space="preserve">demands urgent, tailored solutions led by expert</w:t>
      </w:r>
      <w:r>
        <w:t xml:space="preserve"> </w:t>
      </w:r>
      <w:r>
        <w:rPr>
          <w:bCs/>
          <w:b/>
        </w:rPr>
        <w:t xml:space="preserve">Ophthalmologist</w:t>
      </w:r>
      <w:r>
        <w:t xml:space="preserve">s. This comprehensive research proposal moves beyond fragmented interventions to create a sustainable, data-driven ecosystem for eye care that leverages Qatar's technological infrastructure and cultural context. By empowering local specialists through targeted training and deploying scalable telemedicine frameworks, the project will transform how ophthalmic services are delivered across Doha—ultimately preserving sight, enhancing quality of life, and strengthening Qatar's healthcare system as a model for the Gulf. The proposed work is not merely a clinical study; it is an investment in Qatar's human capital and global health leadership. We urge support for this pivotal</w:t>
      </w:r>
      <w:r>
        <w:t xml:space="preserve"> </w:t>
      </w:r>
      <w:r>
        <w:rPr>
          <w:bCs/>
          <w:b/>
        </w:rPr>
        <w:t xml:space="preserve">Research Proposal</w:t>
      </w:r>
      <w:r>
        <w:t xml:space="preserve"> </w:t>
      </w:r>
      <w:r>
        <w:t xml:space="preserve">to ensure that every resident of Doha has equitable access to world-class vision care.</w:t>
      </w:r>
    </w:p>
    <w:bookmarkEnd w:id="27"/>
    <w:bookmarkStart w:id="28" w:name="word-count-832"/>
    <w:p>
      <w:pPr>
        <w:pStyle w:val="Heading2"/>
      </w:pPr>
      <w: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Qatar Doha</dc:title>
  <dc:creator/>
  <dc:language>en</dc:language>
  <cp:keywords/>
  <dcterms:created xsi:type="dcterms:W3CDTF">2025-12-09T16:06:25Z</dcterms:created>
  <dcterms:modified xsi:type="dcterms:W3CDTF">2025-12-09T16:06:25Z</dcterms:modified>
</cp:coreProperties>
</file>

<file path=docProps/custom.xml><?xml version="1.0" encoding="utf-8"?>
<Properties xmlns="http://schemas.openxmlformats.org/officeDocument/2006/custom-properties" xmlns:vt="http://schemas.openxmlformats.org/officeDocument/2006/docPropsVTypes"/>
</file>