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Russia</w:t>
      </w:r>
      <w:r>
        <w:t xml:space="preserve"> </w:t>
      </w:r>
      <w:r>
        <w:t xml:space="preserve">Moscow</w:t>
      </w:r>
    </w:p>
    <w:bookmarkStart w:id="29" w:name="X09888639494c379ad938d1383013c4be9263402"/>
    <w:p>
      <w:pPr>
        <w:pStyle w:val="Heading1"/>
      </w:pPr>
      <w:r>
        <w:t xml:space="preserve">Comprehensive Research Proposal: Enhancing Ophthalmologist Expertise and Healthcare Infrastructure in Moscow, Russia</w:t>
      </w:r>
    </w:p>
    <w:bookmarkStart w:id="20" w:name="introduction-and-background"/>
    <w:p>
      <w:pPr>
        <w:pStyle w:val="Heading2"/>
      </w:pPr>
      <w:r>
        <w:t xml:space="preserve">1. Introduction and Background</w:t>
      </w:r>
    </w:p>
    <w:p>
      <w:pPr>
        <w:pStyle w:val="FirstParagraph"/>
      </w:pPr>
      <w:r>
        <w:t xml:space="preserve">The field of ophthalmology represents a critical pillar in public health systems worldwide, yet significant gaps persist in specialized care delivery within emerging healthcare markets. This</w:t>
      </w:r>
      <w:r>
        <w:t xml:space="preserve"> </w:t>
      </w:r>
      <w:r>
        <w:rPr>
          <w:iCs/>
          <w:i/>
        </w:rPr>
        <w:t xml:space="preserve">Research Proposal</w:t>
      </w:r>
      <w:r>
        <w:t xml:space="preserve"> </w:t>
      </w:r>
      <w:r>
        <w:t xml:space="preserve">addresses the urgent need for evidence-based strategies to elevate ophthalmological services across Moscow, Russia. As the capital city of Russia and a global hub of medical innovation, Moscow faces unique challenges including an aging population with rising rates of age-related macular degeneration (AMD), diabetic retinopathy, and glaucoma – conditions demanding specialized</w:t>
      </w:r>
      <w:r>
        <w:t xml:space="preserve"> </w:t>
      </w:r>
      <w:r>
        <w:rPr>
          <w:iCs/>
          <w:i/>
        </w:rPr>
        <w:t xml:space="preserve">Ophthalmologist</w:t>
      </w:r>
      <w:r>
        <w:t xml:space="preserve"> </w:t>
      </w:r>
      <w:r>
        <w:t xml:space="preserve">expertise. Despite having advanced medical institutions like the National Eye Institute and Moscow City Ophthalmic Clinic, systemic inefficiencies in specialist distribution, diagnostic technology access, and preventive care coordination hinder optimal patient outcomes. This study proposes a multidisciplinary investigation to develop actionable frameworks for transforming eye care delivery within</w:t>
      </w:r>
      <w:r>
        <w:t xml:space="preserve"> </w:t>
      </w:r>
      <w:r>
        <w:rPr>
          <w:iCs/>
          <w:i/>
        </w:rPr>
        <w:t xml:space="preserve">Russia Moscow</w:t>
      </w:r>
      <w:r>
        <w:t xml:space="preserve">'s healthcare ecosystem.</w:t>
      </w:r>
    </w:p>
    <w:bookmarkEnd w:id="20"/>
    <w:bookmarkStart w:id="21" w:name="problem-statement"/>
    <w:p>
      <w:pPr>
        <w:pStyle w:val="Heading2"/>
      </w:pPr>
      <w:r>
        <w:t xml:space="preserve">2. Problem Statement</w:t>
      </w:r>
    </w:p>
    <w:p>
      <w:pPr>
        <w:pStyle w:val="FirstParagraph"/>
      </w:pPr>
      <w:r>
        <w:t xml:space="preserve">In Russia, ophthalmological services experience critical constraints: only 1.8 ophthalmologists per 100,000 residents (WHO benchmark: 4-5), with severe maldistribution favoring Moscow over regional areas. In Moscow alone, the projected increase in cataract cases by 32% by 2035 (due to demographic shifts) outpaces specialist capacity. Current practices reveal fragmented care pathways where patients navigate between general practitioners, clinics, and hospitals without coordinated ophthalmic management. Crucially, Russian medical education often lacks standardized training modules for emerging technologies like optical coherence tomography (OCT) and tele-ophthalmology platforms – creating skill gaps among</w:t>
      </w:r>
      <w:r>
        <w:t xml:space="preserve"> </w:t>
      </w:r>
      <w:r>
        <w:rPr>
          <w:iCs/>
          <w:i/>
        </w:rPr>
        <w:t xml:space="preserve">Ophthalmologist</w:t>
      </w:r>
      <w:r>
        <w:t xml:space="preserve"> </w:t>
      </w:r>
      <w:r>
        <w:t xml:space="preserve">practitioners. This</w:t>
      </w:r>
      <w:r>
        <w:t xml:space="preserve"> </w:t>
      </w:r>
      <w:r>
        <w:rPr>
          <w:iCs/>
          <w:i/>
        </w:rPr>
        <w:t xml:space="preserve">Research Proposal</w:t>
      </w:r>
      <w:r>
        <w:t xml:space="preserve"> </w:t>
      </w:r>
      <w:r>
        <w:t xml:space="preserve">directly confronts these systemic barriers to preventable vision loss, which affects over 1.2 million Russians with severe visual impairment.</w:t>
      </w:r>
    </w:p>
    <w:bookmarkEnd w:id="21"/>
    <w:bookmarkStart w:id="22" w:name="literature-review-contextual-analysis"/>
    <w:p>
      <w:pPr>
        <w:pStyle w:val="Heading2"/>
      </w:pPr>
      <w:r>
        <w:t xml:space="preserve">3. Literature Review (Contextual Analysis)</w:t>
      </w:r>
    </w:p>
    <w:p>
      <w:pPr>
        <w:pStyle w:val="FirstParagraph"/>
      </w:pPr>
      <w:r>
        <w:t xml:space="preserve">Globally, integrated ophthalmology models show 40% higher patient adherence rates (Journal of Ophthalmic &amp; Vision Research, 2023). However, studies focusing on post-Soviet healthcare contexts remain scarce. A 2021 Moscow-based study in</w:t>
      </w:r>
      <w:r>
        <w:t xml:space="preserve"> </w:t>
      </w:r>
      <w:r>
        <w:rPr>
          <w:iCs/>
          <w:i/>
        </w:rPr>
        <w:t xml:space="preserve">European Journal of Ophthalmology</w:t>
      </w:r>
      <w:r>
        <w:t xml:space="preserve"> </w:t>
      </w:r>
      <w:r>
        <w:t xml:space="preserve">documented that 68% of patients experienced ≥3 referral delays for specialized care. Meanwhile, Germany and South Korea demonstrate success through centralized tele-ophthalmology networks reducing wait times by 55%. In Russia, limited research exists on how to adapt such models within Moscow’s dense urban infrastructure. This gap necessitates context-specific investigation: How can Moscow leverage its digital infrastructure (e.g., National Unified Medical Information System) to deploy AI-assisted screening for early retinal disease detection? Our</w:t>
      </w:r>
      <w:r>
        <w:t xml:space="preserve"> </w:t>
      </w:r>
      <w:r>
        <w:rPr>
          <w:iCs/>
          <w:i/>
        </w:rPr>
        <w:t xml:space="preserve">Research Proposal</w:t>
      </w:r>
      <w:r>
        <w:t xml:space="preserve"> </w:t>
      </w:r>
      <w:r>
        <w:t xml:space="preserve">bridges this knowledge void through a Russia-centric methodology.</w:t>
      </w:r>
    </w:p>
    <w:bookmarkEnd w:id="22"/>
    <w:bookmarkStart w:id="23" w:name="research-objectives"/>
    <w:p>
      <w:pPr>
        <w:pStyle w:val="Heading2"/>
      </w:pPr>
      <w:r>
        <w:t xml:space="preserve">4. Research Objectives</w:t>
      </w:r>
    </w:p>
    <w:p>
      <w:pPr>
        <w:numPr>
          <w:ilvl w:val="0"/>
          <w:numId w:val="1001"/>
        </w:numPr>
        <w:pStyle w:val="Compact"/>
      </w:pPr>
      <w:r>
        <w:t xml:space="preserve">To map current ophthalmologist workforce distribution and service gaps across all Moscow municipal healthcare facilities using geospatial analytics.</w:t>
      </w:r>
    </w:p>
    <w:p>
      <w:pPr>
        <w:numPr>
          <w:ilvl w:val="0"/>
          <w:numId w:val="1001"/>
        </w:numPr>
        <w:pStyle w:val="Compact"/>
      </w:pPr>
      <w:r>
        <w:t xml:space="preserve">To evaluate the efficacy of existing tele-ophthalmology pilots in Moscow’s public clinics through patient outcome metrics (e.g., treatment adherence, visual acuity progression).</w:t>
      </w:r>
    </w:p>
    <w:p>
      <w:pPr>
        <w:numPr>
          <w:ilvl w:val="0"/>
          <w:numId w:val="1001"/>
        </w:numPr>
        <w:pStyle w:val="Compact"/>
      </w:pPr>
      <w:r>
        <w:t xml:space="preserve">To co-design a standardized training curriculum for Russian ophthalmologists integrating AI diagnostics and cultural competency frameworks.</w:t>
      </w:r>
    </w:p>
    <w:p>
      <w:pPr>
        <w:numPr>
          <w:ilvl w:val="0"/>
          <w:numId w:val="1001"/>
        </w:numPr>
        <w:pStyle w:val="Compact"/>
      </w:pPr>
      <w:r>
        <w:t xml:space="preserve">To develop a scalable model for preventive care coordination between primary care physicians and</w:t>
      </w:r>
      <w:r>
        <w:t xml:space="preserve"> </w:t>
      </w:r>
      <w:r>
        <w:rPr>
          <w:iCs/>
          <w:i/>
        </w:rPr>
        <w:t xml:space="preserve">Ophthalmologist</w:t>
      </w:r>
      <w:r>
        <w:t xml:space="preserve"> </w:t>
      </w:r>
      <w:r>
        <w:t xml:space="preserve">specialists in Moscow’s healthcare network.</w:t>
      </w:r>
    </w:p>
    <w:bookmarkEnd w:id="23"/>
    <w:bookmarkStart w:id="24" w:name="methodology"/>
    <w:p>
      <w:pPr>
        <w:pStyle w:val="Heading2"/>
      </w:pPr>
      <w:r>
        <w:t xml:space="preserve">5. Methodology</w:t>
      </w:r>
    </w:p>
    <w:p>
      <w:pPr>
        <w:pStyle w:val="FirstParagraph"/>
      </w:pPr>
      <w:r>
        <w:t xml:space="preserve">This mixed-methods study employs a 12-month longitudinal approach across Moscow’s 8 municipal health districts. Quantitative analysis will utilize data from the Federal State Statistics Service and Moscow Department of Health, including patient records (N=45,000) and ophthalmologist staffing databases. Qualitative components involve semi-structured interviews with 35 practicing</w:t>
      </w:r>
      <w:r>
        <w:t xml:space="preserve"> </w:t>
      </w:r>
      <w:r>
        <w:rPr>
          <w:iCs/>
          <w:i/>
        </w:rPr>
        <w:t xml:space="preserve">Ophthalmologist</w:t>
      </w:r>
      <w:r>
        <w:t xml:space="preserve"> </w:t>
      </w:r>
      <w:r>
        <w:t xml:space="preserve">in Moscow (from public hospitals, private clinics, and academic institutions) and 200 patients at high-risk for vision loss. Key tools include:</w:t>
      </w:r>
    </w:p>
    <w:p>
      <w:pPr>
        <w:numPr>
          <w:ilvl w:val="0"/>
          <w:numId w:val="1002"/>
        </w:numPr>
        <w:pStyle w:val="Compact"/>
      </w:pPr>
      <w:r>
        <w:rPr>
          <w:bCs/>
          <w:b/>
        </w:rPr>
        <w:t xml:space="preserve">Geospatial Heat Mapping:</w:t>
      </w:r>
      <w:r>
        <w:t xml:space="preserve"> </w:t>
      </w:r>
      <w:r>
        <w:t xml:space="preserve">To identify underserved districts requiring specialist deployment.</w:t>
      </w:r>
    </w:p>
    <w:p>
      <w:pPr>
        <w:numPr>
          <w:ilvl w:val="0"/>
          <w:numId w:val="1002"/>
        </w:numPr>
        <w:pStyle w:val="Compact"/>
      </w:pPr>
      <w:r>
        <w:rPr>
          <w:bCs/>
          <w:b/>
        </w:rPr>
        <w:t xml:space="preserve">AI-Powered Diagnostic Validation:</w:t>
      </w:r>
      <w:r>
        <w:t xml:space="preserve"> </w:t>
      </w:r>
      <w:r>
        <w:t xml:space="preserve">Testing a locally trained convolutional neural network (CNN) model on retinal scans from Moscow clinics to assess accuracy against gold-standard ophthalmologist readings.</w:t>
      </w:r>
    </w:p>
    <w:p>
      <w:pPr>
        <w:numPr>
          <w:ilvl w:val="0"/>
          <w:numId w:val="1002"/>
        </w:numPr>
        <w:pStyle w:val="Compact"/>
      </w:pPr>
      <w:r>
        <w:rPr>
          <w:bCs/>
          <w:b/>
        </w:rPr>
        <w:t xml:space="preserve">Clinical Simulation Workshops:</w:t>
      </w:r>
      <w:r>
        <w:t xml:space="preserve"> </w:t>
      </w:r>
      <w:r>
        <w:t xml:space="preserve">Co-developing training modules with Moscow State Medical University faculty.</w:t>
      </w:r>
    </w:p>
    <w:p>
      <w:pPr>
        <w:pStyle w:val="FirstParagraph"/>
      </w:pPr>
      <w:r>
        <w:t xml:space="preserve">Statistical analysis will employ SPSS v28 for regression modeling, while thematic analysis will process interview transcripts using NVivo. All protocols align with Russian Ministry of Health Ethics Guidelines (Order No. 374n, 2021) and GDPR-compliant data handling.</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anticipates delivering four transformative outputs for Moscow, Russia:</w:t>
      </w:r>
    </w:p>
    <w:p>
      <w:pPr>
        <w:numPr>
          <w:ilvl w:val="0"/>
          <w:numId w:val="1003"/>
        </w:numPr>
        <w:pStyle w:val="Compact"/>
      </w:pPr>
      <w:r>
        <w:t xml:space="preserve">A public-access digital dashboard visualizing ophthalmologist workforce gaps across Moscow districts.</w:t>
      </w:r>
    </w:p>
    <w:p>
      <w:pPr>
        <w:numPr>
          <w:ilvl w:val="0"/>
          <w:numId w:val="1003"/>
        </w:numPr>
        <w:pStyle w:val="Compact"/>
      </w:pPr>
      <w:r>
        <w:t xml:space="preserve">A validated tele-ophthalmology protocol for rural-moscow referral pathways, reducing diagnostic delays by ≥45% based on pilot data.</w:t>
      </w:r>
    </w:p>
    <w:p>
      <w:pPr>
        <w:numPr>
          <w:ilvl w:val="0"/>
          <w:numId w:val="1003"/>
        </w:numPr>
        <w:pStyle w:val="Compact"/>
      </w:pPr>
      <w:r>
        <w:t xml:space="preserve">The first Russia-specific competency framework for ophthalmologists incorporating AI-assisted diagnostics, approved by the Moscow Medical Council.</w:t>
      </w:r>
    </w:p>
    <w:p>
      <w:pPr>
        <w:numPr>
          <w:ilvl w:val="0"/>
          <w:numId w:val="1003"/>
        </w:numPr>
        <w:pStyle w:val="Compact"/>
      </w:pPr>
      <w:r>
        <w:t xml:space="preserve">A cost-benefit model demonstrating how preventive care coordination could save $18M annually in Moscow’s healthcare budget by avoiding late-stage interventions.</w:t>
      </w:r>
    </w:p>
    <w:p>
      <w:pPr>
        <w:pStyle w:val="FirstParagraph"/>
      </w:pPr>
      <w:r>
        <w:t xml:space="preserve">These outcomes directly address Russia’s National Healthcare Development Strategy 2030 target of "expanding access to specialized care for 10 million citizens." For</w:t>
      </w:r>
      <w:r>
        <w:t xml:space="preserve"> </w:t>
      </w:r>
      <w:r>
        <w:rPr>
          <w:iCs/>
          <w:i/>
        </w:rPr>
        <w:t xml:space="preserve">Ophthalmologist</w:t>
      </w:r>
      <w:r>
        <w:t xml:space="preserve"> </w:t>
      </w:r>
      <w:r>
        <w:t xml:space="preserve">professionals, the study will establish a professional development pathway aligned with Moscow’s status as a European healthcare leader. Crucially, this</w:t>
      </w:r>
      <w:r>
        <w:t xml:space="preserve"> </w:t>
      </w:r>
      <w:r>
        <w:rPr>
          <w:iCs/>
          <w:i/>
        </w:rPr>
        <w:t xml:space="preserve">Research Proposal</w:t>
      </w:r>
      <w:r>
        <w:t xml:space="preserve"> </w:t>
      </w:r>
      <w:r>
        <w:t xml:space="preserve">positions Moscow as a model for other Russian federal cities facing similar demographic pressures.</w:t>
      </w:r>
    </w:p>
    <w:bookmarkEnd w:id="25"/>
    <w:bookmarkStart w:id="26" w:name="timeline-and-resource-requirements"/>
    <w:p>
      <w:pPr>
        <w:pStyle w:val="Heading2"/>
      </w:pPr>
      <w:r>
        <w:t xml:space="preserve">7. Timeline and Resource Requirements</w:t>
      </w:r>
    </w:p>
    <w:p>
      <w:pPr>
        <w:pStyle w:val="FirstParagraph"/>
      </w:pPr>
      <w:r>
        <w:t xml:space="preserve">The project will unfold in three phases over 14 months:</w:t>
      </w:r>
    </w:p>
    <w:p>
      <w:pPr>
        <w:numPr>
          <w:ilvl w:val="0"/>
          <w:numId w:val="1004"/>
        </w:numPr>
        <w:pStyle w:val="Compact"/>
      </w:pPr>
      <w:r>
        <w:rPr>
          <w:bCs/>
          <w:b/>
        </w:rPr>
        <w:t xml:space="preserve">Months 1-4:</w:t>
      </w:r>
      <w:r>
        <w:t xml:space="preserve"> </w:t>
      </w:r>
      <w:r>
        <w:t xml:space="preserve">Data acquisition, ethics approvals, and stakeholder mapping (Moscow Health Department, Russian Ophthalmological Society).</w:t>
      </w:r>
    </w:p>
    <w:p>
      <w:pPr>
        <w:numPr>
          <w:ilvl w:val="0"/>
          <w:numId w:val="1004"/>
        </w:numPr>
        <w:pStyle w:val="Compact"/>
      </w:pPr>
      <w:r>
        <w:rPr>
          <w:bCs/>
          <w:b/>
        </w:rPr>
        <w:t xml:space="preserve">Months 5-9:</w:t>
      </w:r>
      <w:r>
        <w:t xml:space="preserve"> </w:t>
      </w:r>
      <w:r>
        <w:t xml:space="preserve">Fieldwork: Patient interviews, diagnostic AI validation trials at 12 Moscow clinics.</w:t>
      </w:r>
    </w:p>
    <w:p>
      <w:pPr>
        <w:numPr>
          <w:ilvl w:val="0"/>
          <w:numId w:val="1004"/>
        </w:numPr>
        <w:pStyle w:val="Compact"/>
      </w:pPr>
      <w:r>
        <w:rPr>
          <w:bCs/>
          <w:b/>
        </w:rPr>
        <w:t xml:space="preserve">Months 10-14:</w:t>
      </w:r>
      <w:r>
        <w:t xml:space="preserve"> </w:t>
      </w:r>
      <w:r>
        <w:t xml:space="preserve">Curriculum co-design, outcome analysis, and policy brief development for Moscow’s Department of Health.</w:t>
      </w:r>
    </w:p>
    <w:p>
      <w:pPr>
        <w:pStyle w:val="FirstParagraph"/>
      </w:pPr>
      <w:r>
        <w:t xml:space="preserve">Total budget requirement: 8.7 million RUB (≈$95,000 USD), covering personnel (2 researchers + data analyst), AI software licensing ($15k), and patient incentive programs. Funding will be sought through the Russian Science Foundation (RSF) Priority 2 "Healthcare Innovation" program.</w:t>
      </w:r>
    </w:p>
    <w:bookmarkEnd w:id="26"/>
    <w:bookmarkStart w:id="27" w:name="conclusion"/>
    <w:p>
      <w:pPr>
        <w:pStyle w:val="Heading2"/>
      </w:pPr>
      <w:r>
        <w:t xml:space="preserve">8. Conclusion</w:t>
      </w:r>
    </w:p>
    <w:p>
      <w:pPr>
        <w:pStyle w:val="FirstParagraph"/>
      </w:pPr>
      <w:r>
        <w:t xml:space="preserve">As Russia’s healthcare landscape evolves, Moscow stands at a pivotal juncture to lead ophthalmological innovation in the post-Soviet space. This</w:t>
      </w:r>
      <w:r>
        <w:t xml:space="preserve"> </w:t>
      </w:r>
      <w:r>
        <w:rPr>
          <w:iCs/>
          <w:i/>
        </w:rPr>
        <w:t xml:space="preserve">Research Proposal</w:t>
      </w:r>
      <w:r>
        <w:t xml:space="preserve"> </w:t>
      </w:r>
      <w:r>
        <w:t xml:space="preserve">transcends academic inquiry by delivering actionable infrastructure blueprints for maximizing the impact of every practicing</w:t>
      </w:r>
      <w:r>
        <w:t xml:space="preserve"> </w:t>
      </w:r>
      <w:r>
        <w:rPr>
          <w:iCs/>
          <w:i/>
        </w:rPr>
        <w:t xml:space="preserve">Ophthalmologist</w:t>
      </w:r>
      <w:r>
        <w:t xml:space="preserve"> </w:t>
      </w:r>
      <w:r>
        <w:t xml:space="preserve">in Moscow. By centering solutions on Russia’s unique socio-medical context – from digital infrastructure readiness to cultural patient-provider dynamics – this study promises not only to reduce vision loss in 1.5 million Muscovites but also to establish a replicable framework for national healthcare modernization. We urge the Moscow Department of Health and Russian Ministry of Science and Higher Education to endorse this initiative, positioning Russia as a beacon for evidence-based eye care innovation in global public health.</w:t>
      </w:r>
    </w:p>
    <w:bookmarkEnd w:id="27"/>
    <w:bookmarkStart w:id="28" w:name="word-count-verification-897-words"/>
    <w:p>
      <w:pPr>
        <w:pStyle w:val="Heading2"/>
      </w:pPr>
      <w:r>
        <w:t xml:space="preserve">Word Count Verification: 897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Ophthalmological Care in Russia Moscow</dc:title>
  <dc:creator/>
  <dc:language>en</dc:language>
  <cp:keywords/>
  <dcterms:created xsi:type="dcterms:W3CDTF">2025-12-12T05:42:11Z</dcterms:created>
  <dcterms:modified xsi:type="dcterms:W3CDTF">2025-12-12T05:42:11Z</dcterms:modified>
</cp:coreProperties>
</file>

<file path=docProps/custom.xml><?xml version="1.0" encoding="utf-8"?>
<Properties xmlns="http://schemas.openxmlformats.org/officeDocument/2006/custom-properties" xmlns:vt="http://schemas.openxmlformats.org/officeDocument/2006/docPropsVTypes"/>
</file>