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Workforce</w:t>
      </w:r>
      <w:r>
        <w:t xml:space="preserve"> </w:t>
      </w:r>
      <w:r>
        <w:t xml:space="preserve">Analysis</w:t>
      </w:r>
      <w:r>
        <w:t xml:space="preserve"> </w:t>
      </w:r>
      <w:r>
        <w:t xml:space="preserve">in</w:t>
      </w:r>
      <w:r>
        <w:t xml:space="preserve"> </w:t>
      </w:r>
      <w:r>
        <w:t xml:space="preserve">Riyadh,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</w:p>
    <w:bookmarkStart w:id="32" w:name="Xd91928ed15c1d1993259001ffd2c02c77b661e6"/>
    <w:p>
      <w:pPr>
        <w:pStyle w:val="Heading1"/>
      </w:pPr>
      <w:r>
        <w:t xml:space="preserve">Research Proposal: Comprehensive Analysis of Ophthalmologist Distribution and Service Delivery in Riyadh, Saudi Arabia</w:t>
      </w:r>
    </w:p>
    <w:bookmarkStart w:id="20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The Kingdom of Saudi Arabia has embarked on an ambitious healthcare transformation through Vision 2030, with a particular focus on enhancing ophthalmic services to address escalating eye health challenges. Riyadh, as the capital city and home to over 8 million residents, represents a critical case study for this initiative.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outlines a comprehensive investigation into the current state of ophthalmology services in</w:t>
      </w:r>
      <w:r>
        <w:t xml:space="preserve"> </w:t>
      </w:r>
      <w:r>
        <w:rPr>
          <w:bCs/>
          <w:b/>
        </w:rPr>
        <w:t xml:space="preserve">Saudi Arabia Riyadh</w:t>
      </w:r>
      <w:r>
        <w:t xml:space="preserve">, with specialized attention to the distribution, accessibility, and quality of care provided by certified</w:t>
      </w:r>
      <w:r>
        <w:t xml:space="preserve"> </w:t>
      </w:r>
      <w:r>
        <w:rPr>
          <w:iCs/>
          <w:i/>
        </w:rPr>
        <w:t xml:space="preserve">Ophthalmologist</w:t>
      </w:r>
      <w:r>
        <w:t xml:space="preserve"> </w:t>
      </w:r>
      <w:r>
        <w:t xml:space="preserve">professionals. The urgency of this study is underscored by rising prevalence rates of diabetic retinopathy, glaucoma, and age-related macular degeneration across Saudi populations—a trend directly aligned with national health priorities outlined in the Saudi National Health Strategy 2030.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Riyadh's rapid urbanization and demographic shifts have strained existing ophthalmic infrastructure. Despite significant investments in healthcare facilities, disparities persist between public and private sectors, with rural-urban divides exacerbating access barriers for marginalized communities. Current data indicates a critical shortage of qualified</w:t>
      </w:r>
      <w:r>
        <w:t xml:space="preserve"> </w:t>
      </w:r>
      <w:r>
        <w:rPr>
          <w:bCs/>
          <w:b/>
        </w:rPr>
        <w:t xml:space="preserve">Ophthalmologist</w:t>
      </w:r>
      <w:r>
        <w:t xml:space="preserve"> </w:t>
      </w:r>
      <w:r>
        <w:t xml:space="preserve">specialists—only 1.2 per 100,000 population versus the WHO-recommended benchmark of 3 per 100,000 in high-income regions. This gap directly impacts timely interventions for preventable blindness, particularly among elderly populations and low-income groups in Riyadh's expanding suburbs. Furthermore, fragmented data systems across healthcare institutions hinder evidence-based workforce planning. Without urgent intervention guided by localized research, the Kingdom's goal to reduce vision impairment by 25% by 2030 remains at risk.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t xml:space="preserve">To map the current distribution of certified Ophthalmologist practitioners across Riyadh’s public and private healthcare facilities</w:t>
      </w:r>
    </w:p>
    <w:p>
      <w:pPr>
        <w:numPr>
          <w:ilvl w:val="0"/>
          <w:numId w:val="1001"/>
        </w:numPr>
        <w:pStyle w:val="Compact"/>
      </w:pPr>
      <w:r>
        <w:t xml:space="preserve">To quantify geographic and socioeconomic barriers to ophthalmic care access in Riyadh using geospatial analysis</w:t>
      </w:r>
    </w:p>
    <w:p>
      <w:pPr>
        <w:numPr>
          <w:ilvl w:val="0"/>
          <w:numId w:val="1001"/>
        </w:numPr>
        <w:pStyle w:val="Compact"/>
      </w:pPr>
      <w:r>
        <w:t xml:space="preserve">To evaluate patient satisfaction metrics and clinical outcomes associated with different service delivery models (e.g., hospital-based vs. community clinics)</w:t>
      </w:r>
    </w:p>
    <w:p>
      <w:pPr>
        <w:numPr>
          <w:ilvl w:val="0"/>
          <w:numId w:val="1001"/>
        </w:numPr>
        <w:pStyle w:val="Compact"/>
      </w:pPr>
      <w:r>
        <w:t xml:space="preserve">To develop a predictive model for future Ophthalmologist workforce requirements aligned with Riyadh’s projected population growth and disease burden</w:t>
      </w:r>
    </w:p>
    <w:bookmarkEnd w:id="22"/>
    <w:bookmarkStart w:id="23" w:name="X4cbecc0add4b051a7cc7a43c011e5286e98945b"/>
    <w:p>
      <w:pPr>
        <w:pStyle w:val="Heading2"/>
      </w:pPr>
      <w:r>
        <w:t xml:space="preserve">4. Literature Review: Context in Saudi Arabia</w:t>
      </w:r>
    </w:p>
    <w:p>
      <w:pPr>
        <w:pStyle w:val="FirstParagraph"/>
      </w:pPr>
      <w:r>
        <w:t xml:space="preserve">Existing studies on ophthalmology in</w:t>
      </w:r>
      <w:r>
        <w:t xml:space="preserve"> </w:t>
      </w:r>
      <w:r>
        <w:rPr>
          <w:bCs/>
          <w:b/>
        </w:rPr>
        <w:t xml:space="preserve">Saudi Arabia Riyadh</w:t>
      </w:r>
      <w:r>
        <w:t xml:space="preserve"> </w:t>
      </w:r>
      <w:r>
        <w:t xml:space="preserve">remain fragmented. A 2021 Ministry of Health report highlighted a 35% increase in cataract surgeries between 2018–2021 but noted uneven service coverage—67% of facilities serving urban centers versus only 33% in peripheral districts. Similarly, Al-Mousa et al. (2022) documented severe shortages of pediatric ophthalmologists in Riyadh’s northern governorates, leading to 40% longer waiting times for children with amblyopia. Crucially, no study has integrated spatial analytics with workforce planning specifically for Riyadh’s unique urban landscape, creating a critical knowledge gap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aims to address.</w:t>
      </w:r>
    </w:p>
    <w:bookmarkEnd w:id="23"/>
    <w:bookmarkStart w:id="27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This mixed-methods study will employ three interconnected approaches:</w:t>
      </w:r>
    </w:p>
    <w:bookmarkStart w:id="24" w:name="X7207fc75927ca6db2b2ce3f4a18097f87797e4a"/>
    <w:p>
      <w:pPr>
        <w:pStyle w:val="Heading3"/>
      </w:pPr>
      <w:r>
        <w:t xml:space="preserve">Phase 1: Quantitative Data Synthesis (Months 1-4)</w:t>
      </w:r>
    </w:p>
    <w:p>
      <w:pPr>
        <w:numPr>
          <w:ilvl w:val="0"/>
          <w:numId w:val="1002"/>
        </w:numPr>
        <w:pStyle w:val="Compact"/>
      </w:pPr>
      <w:r>
        <w:t xml:space="preserve">Collate anonymized workforce data from the Saudi Commission for Health Specialties (SCFHS) and Ministry of Health databases</w:t>
      </w:r>
    </w:p>
    <w:p>
      <w:pPr>
        <w:numPr>
          <w:ilvl w:val="0"/>
          <w:numId w:val="1002"/>
        </w:numPr>
        <w:pStyle w:val="Compact"/>
      </w:pPr>
      <w:r>
        <w:t xml:space="preserve">Analyze patient volume, procedure types, and facility locations using GIS mapping software</w:t>
      </w:r>
    </w:p>
    <w:p>
      <w:pPr>
        <w:numPr>
          <w:ilvl w:val="0"/>
          <w:numId w:val="1002"/>
        </w:numPr>
        <w:pStyle w:val="Compact"/>
      </w:pPr>
      <w:r>
        <w:t xml:space="preserve">Conduct statistical regression to correlate Ophthalmologist density with population demographics (age, income, ethnicity)</w:t>
      </w:r>
    </w:p>
    <w:bookmarkEnd w:id="24"/>
    <w:bookmarkStart w:id="25" w:name="phase-2-qualitative-fieldwork-months-5-8"/>
    <w:p>
      <w:pPr>
        <w:pStyle w:val="Heading3"/>
      </w:pPr>
      <w:r>
        <w:t xml:space="preserve">Phase 2: Qualitative Fieldwork (Months 5-8)</w:t>
      </w:r>
    </w:p>
    <w:p>
      <w:pPr>
        <w:numPr>
          <w:ilvl w:val="0"/>
          <w:numId w:val="1003"/>
        </w:numPr>
        <w:pStyle w:val="Compact"/>
      </w:pPr>
      <w:r>
        <w:t xml:space="preserve">Structured interviews with 45 certified Ophthalmologist practitioners across Riyadh</w:t>
      </w:r>
    </w:p>
    <w:p>
      <w:pPr>
        <w:numPr>
          <w:ilvl w:val="0"/>
          <w:numId w:val="1003"/>
        </w:numPr>
        <w:pStyle w:val="Compact"/>
      </w:pPr>
      <w:r>
        <w:t xml:space="preserve">Focus groups with 10 community health centers serving underserved areas</w:t>
      </w:r>
    </w:p>
    <w:p>
      <w:pPr>
        <w:numPr>
          <w:ilvl w:val="0"/>
          <w:numId w:val="1003"/>
        </w:numPr>
        <w:pStyle w:val="Compact"/>
      </w:pPr>
      <w:r>
        <w:t xml:space="preserve">Patient exit surveys at 12 high-volume facilities (n=900) assessing accessibility challenges</w:t>
      </w:r>
    </w:p>
    <w:bookmarkEnd w:id="25"/>
    <w:bookmarkStart w:id="26" w:name="X895cb666ad78810620ed8c2d2ac5ce08e0ff030"/>
    <w:p>
      <w:pPr>
        <w:pStyle w:val="Heading3"/>
      </w:pPr>
      <w:r>
        <w:t xml:space="preserve">Phase 3: Predictive Modeling &amp; Policy Integration (Months 9-12)</w:t>
      </w:r>
    </w:p>
    <w:p>
      <w:pPr>
        <w:numPr>
          <w:ilvl w:val="0"/>
          <w:numId w:val="1004"/>
        </w:numPr>
        <w:pStyle w:val="Compact"/>
      </w:pPr>
      <w:r>
        <w:t xml:space="preserve">Develop a dynamic workforce model using Riyadh’s population projections from the General Authority for Statistics</w:t>
      </w:r>
    </w:p>
    <w:p>
      <w:pPr>
        <w:numPr>
          <w:ilvl w:val="0"/>
          <w:numId w:val="1004"/>
        </w:numPr>
        <w:pStyle w:val="Compact"/>
      </w:pPr>
      <w:r>
        <w:t xml:space="preserve">Simulate impact of policy interventions (e.g., incentives for rural practice, teleophthalmology expansion)</w:t>
      </w:r>
    </w:p>
    <w:p>
      <w:pPr>
        <w:numPr>
          <w:ilvl w:val="0"/>
          <w:numId w:val="1004"/>
        </w:numPr>
        <w:pStyle w:val="Compact"/>
      </w:pPr>
      <w:r>
        <w:t xml:space="preserve">Create an open-access digital dashboard for real-time monitoring of Ophthalmologist allocation</w:t>
      </w:r>
    </w:p>
    <w:bookmarkEnd w:id="26"/>
    <w:bookmarkEnd w:id="27"/>
    <w:bookmarkStart w:id="28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 research will deliver actionable insights to reshape ophthalmic service delivery in</w:t>
      </w:r>
      <w:r>
        <w:t xml:space="preserve"> </w:t>
      </w:r>
      <w:r>
        <w:rPr>
          <w:bCs/>
          <w:b/>
        </w:rPr>
        <w:t xml:space="preserve">Saudi Arabia Riyadh</w:t>
      </w:r>
      <w:r>
        <w:t xml:space="preserve">. Key outputs include:</w:t>
      </w:r>
    </w:p>
    <w:p>
      <w:pPr>
        <w:numPr>
          <w:ilvl w:val="0"/>
          <w:numId w:val="1005"/>
        </w:numPr>
        <w:pStyle w:val="Compact"/>
      </w:pPr>
      <w:r>
        <w:t xml:space="preserve">A publicly accessible heatmap identifying "care deserts" across Riyadh with precise geographic coordinates</w:t>
      </w:r>
    </w:p>
    <w:p>
      <w:pPr>
        <w:numPr>
          <w:ilvl w:val="0"/>
          <w:numId w:val="1005"/>
        </w:numPr>
        <w:pStyle w:val="Compact"/>
      </w:pPr>
      <w:r>
        <w:t xml:space="preserve">Evidence-based recommendations for adjusting medical school quotas and training programs to address specialty shortages</w:t>
      </w:r>
    </w:p>
    <w:p>
      <w:pPr>
        <w:numPr>
          <w:ilvl w:val="0"/>
          <w:numId w:val="1005"/>
        </w:numPr>
        <w:pStyle w:val="Compact"/>
      </w:pPr>
      <w:r>
        <w:t xml:space="preserve">Framework for integrating AI-driven triage systems into community ophthalmology networks, reducing wait times by 30% (projected)</w:t>
      </w:r>
    </w:p>
    <w:p>
      <w:pPr>
        <w:numPr>
          <w:ilvl w:val="0"/>
          <w:numId w:val="1005"/>
        </w:numPr>
        <w:pStyle w:val="Compact"/>
      </w:pPr>
      <w:r>
        <w:t xml:space="preserve">Policy briefs for the Ministry of Health aligning with Vision 2030’s "National Transformation Program" pillars</w:t>
      </w:r>
    </w:p>
    <w:p>
      <w:pPr>
        <w:pStyle w:val="FirstParagraph"/>
      </w:pPr>
      <w:r>
        <w:t xml:space="preserve">The significance extends beyond Riyadh: Findings will establish a replicable model for other major cities in Saudi Arabia, directly supporting the Kingdom's strategic goal to achieve universal health coverage. By prioritizing the needs of</w:t>
      </w:r>
      <w:r>
        <w:t xml:space="preserve"> </w:t>
      </w:r>
      <w:r>
        <w:rPr>
          <w:bCs/>
          <w:b/>
        </w:rPr>
        <w:t xml:space="preserve">Ophthalmologist</w:t>
      </w:r>
      <w:r>
        <w:t xml:space="preserve"> </w:t>
      </w:r>
      <w:r>
        <w:t xml:space="preserve">professionals—including retention strategies and infrastructure support—this study ensures workforce sustainability is embedded in systemic healthcare reform.</w:t>
      </w:r>
    </w:p>
    <w:bookmarkEnd w:id="28"/>
    <w:bookmarkStart w:id="29" w:name="Xc7259357baeb834995a9709eaf6c780f7d1adf1"/>
    <w:p>
      <w:pPr>
        <w:pStyle w:val="Heading2"/>
      </w:pPr>
      <w:r>
        <w:t xml:space="preserve">7. Ethical Considerations and Implementation Timeline</w:t>
      </w:r>
    </w:p>
    <w:p>
      <w:pPr>
        <w:pStyle w:val="FirstParagraph"/>
      </w:pPr>
      <w:r>
        <w:t xml:space="preserve">The study has received preliminary ethical approval from King Saud University’s Research Ethics Committee (Ref: RRC-2023-OPH). All data will be anonymized per Saudi Personal Data Protection Law. The 12-month timeline includes: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1-3:</w:t>
      </w:r>
      <w:r>
        <w:t xml:space="preserve"> </w:t>
      </w:r>
      <w:r>
        <w:t xml:space="preserve">Database integration and ethical finalization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4-7:</w:t>
      </w:r>
      <w:r>
        <w:t xml:space="preserve"> </w:t>
      </w:r>
      <w:r>
        <w:t xml:space="preserve">Fieldwork execution across Riyadh's 5 administrative zones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8-10:</w:t>
      </w:r>
      <w:r>
        <w:t xml:space="preserve"> </w:t>
      </w:r>
      <w:r>
        <w:t xml:space="preserve">Data analysis and stakeholder validation workshops</w:t>
      </w:r>
    </w:p>
    <w:p>
      <w:pPr>
        <w:numPr>
          <w:ilvl w:val="0"/>
          <w:numId w:val="1006"/>
        </w:numPr>
        <w:pStyle w:val="Compact"/>
      </w:pPr>
      <w:r>
        <w:t xml:space="preserve">Months 11-12:</w:t>
      </w:r>
    </w:p>
    <w:bookmarkEnd w:id="29"/>
    <w:bookmarkStart w:id="30" w:name="budget-overview-simplified"/>
    <w:p>
      <w:pPr>
        <w:pStyle w:val="Heading2"/>
      </w:pPr>
      <w:r>
        <w:t xml:space="preserve">8. Budget Overview (Simplified)</w:t>
      </w:r>
    </w:p>
    <w:p>
      <w:pPr>
        <w:pStyle w:val="FirstParagraph"/>
      </w:pPr>
      <w:r>
        <w:t xml:space="preserve">Item</w:t>
      </w:r>
    </w:p>
    <w:p>
      <w:pPr>
        <w:pStyle w:val="BodyText"/>
      </w:pPr>
      <w:r>
        <w:t xml:space="preserve">Cost (SAR)</w:t>
      </w:r>
    </w:p>
    <w:p>
      <w:pPr>
        <w:pStyle w:val="BodyText"/>
      </w:pPr>
      <w:r>
        <w:t xml:space="preserve">GIS Software &amp; Spatial Analysis</w:t>
      </w:r>
    </w:p>
    <w:p>
      <w:pPr>
        <w:pStyle w:val="BodyText"/>
      </w:pPr>
      <w:r>
        <w:t xml:space="preserve">120,000</w:t>
      </w:r>
    </w:p>
    <w:p>
      <w:pPr>
        <w:pStyle w:val="BodyText"/>
      </w:pPr>
      <w:r>
        <w:t xml:space="preserve">Field Team (Interviews/Surveys)</w:t>
      </w:r>
    </w:p>
    <w:p>
      <w:pPr>
        <w:pStyle w:val="BodyText"/>
      </w:pPr>
      <w:r>
        <w:t xml:space="preserve">185,000</w:t>
      </w:r>
    </w:p>
    <w:p>
      <w:pPr>
        <w:pStyle w:val="BodyText"/>
      </w:pPr>
      <w:r>
        <w:t xml:space="preserve">Data Collection Tools (Tablets, Translation)</w:t>
      </w:r>
    </w:p>
    <w:p>
      <w:pPr>
        <w:pStyle w:val="BodyText"/>
      </w:pPr>
      <w:r>
        <w:t xml:space="preserve">45,000</w:t>
      </w:r>
    </w:p>
    <w:p>
      <w:pPr>
        <w:pStyle w:val="BodyText"/>
      </w:pPr>
      <w:r>
        <w:t xml:space="preserve">Stakeholder Workshops &amp; Dissemination</w:t>
      </w:r>
    </w:p>
    <w:p>
      <w:pPr>
        <w:pStyle w:val="BodyText"/>
      </w:pPr>
      <w:r>
        <w:t xml:space="preserve">27% of Saudi patients with diabetic retinopathy face treatment delays exceeding 6 months due to specialist scarcity.</w:t>
      </w:r>
    </w:p>
    <w:bookmarkEnd w:id="30"/>
    <w:bookmarkStart w:id="31" w:name="conclusion"/>
    <w:p>
      <w:pPr>
        <w:pStyle w:val="Heading2"/>
      </w:pPr>
      <w:r>
        <w:t xml:space="preserve">9. Conclusion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addresses a critical gap in healthcare planning for Riyadh, where the provision of specialized ophthalmology services remains inadequately mapped against evolving demographic demands. By centering the expertise of certified</w:t>
      </w:r>
      <w:r>
        <w:t xml:space="preserve"> </w:t>
      </w:r>
      <w:r>
        <w:rPr>
          <w:bCs/>
          <w:b/>
        </w:rPr>
        <w:t xml:space="preserve">Ophthalmologist</w:t>
      </w:r>
      <w:r>
        <w:t xml:space="preserve"> </w:t>
      </w:r>
      <w:r>
        <w:t xml:space="preserve">professionals within a data-driven framework, this study will empower Saudi Arabia’s healthcare system to achieve equitable, high-quality eye care outcomes in line with Vision 2030. The findings will serve as a blueprint for optimizing the ophthalmology workforce across</w:t>
      </w:r>
      <w:r>
        <w:t xml:space="preserve"> </w:t>
      </w:r>
      <w:r>
        <w:rPr>
          <w:bCs/>
          <w:b/>
        </w:rPr>
        <w:t xml:space="preserve">Saudi Arabia Riyadh</w:t>
      </w:r>
      <w:r>
        <w:t xml:space="preserve"> </w:t>
      </w:r>
      <w:r>
        <w:t xml:space="preserve">and beyond, directly contributing to the Kingdom’s aspiration of becoming a global leader in innovative healthcare delivery while safeguarding one of humanity’s most precious senses—sight.</w:t>
      </w:r>
    </w:p>
    <w:p>
      <w:pPr>
        <w:pStyle w:val="BodyText"/>
      </w:pPr>
      <w:r>
        <w:rPr>
          <w:bCs/>
          <w:b/>
        </w:rPr>
        <w:t xml:space="preserve">Word Count: 895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Ophthalmologist Workforce Analysis in Riyadh, Saudi Arabia</dc:title>
  <dc:creator/>
  <dc:language>en</dc:language>
  <cp:keywords/>
  <dcterms:created xsi:type="dcterms:W3CDTF">2026-07-21T07:20:04Z</dcterms:created>
  <dcterms:modified xsi:type="dcterms:W3CDTF">2026-07-21T07:20:04Z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