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Ankara,</w:t>
      </w:r>
      <w:r>
        <w:t xml:space="preserve"> </w:t>
      </w:r>
      <w:r>
        <w:t xml:space="preserve">Turkey</w:t>
      </w:r>
    </w:p>
    <w:bookmarkStart w:id="29" w:name="X72602fb051617be8d3683b021dbe56c6192eabd"/>
    <w:p>
      <w:pPr>
        <w:pStyle w:val="Heading1"/>
      </w:pPr>
      <w:r>
        <w:t xml:space="preserve">Research Proposal: Enhancing Ophthalmological Services through Innovative Models at Ankara Medical Institutions</w:t>
      </w:r>
    </w:p>
    <w:bookmarkStart w:id="20" w:name="introduction"/>
    <w:p>
      <w:pPr>
        <w:pStyle w:val="Heading2"/>
      </w:pPr>
      <w:r>
        <w:t xml:space="preserve">1. Introduction</w:t>
      </w:r>
    </w:p>
    <w:p>
      <w:pPr>
        <w:pStyle w:val="FirstParagraph"/>
      </w:pPr>
      <w:r>
        <w:t xml:space="preserve">The field of ophthalmology stands as a critical pillar within Turkey's healthcare infrastructure, particularly in Ankara, the nation's capital and administrative hub. As the population ages and digital screen usage escalates across Turkey Ankara, the demand for specialized eye care services has surged exponentially. This Research Proposal outlines a comprehensive study dedicated to analyzing current ophthalmologist service delivery models in Ankara and developing evidence-based strategies to address emerging challenges. With over 12 million residents concentrated in Ankara Province alone, the capital region faces unique pressures on its ophthalmology workforce, including urban-rural disparities and rising prevalence of diabetic retinopathy and age-related macular degeneration. This study directly responds to Turkey's National Health Strategy 2030, which prioritizes specialized care accessibility across all major metropolitan centers.</w:t>
      </w:r>
    </w:p>
    <w:bookmarkEnd w:id="20"/>
    <w:bookmarkStart w:id="21" w:name="problem-statement"/>
    <w:p>
      <w:pPr>
        <w:pStyle w:val="Heading2"/>
      </w:pPr>
      <w:r>
        <w:t xml:space="preserve">2. Problem Statement</w:t>
      </w:r>
    </w:p>
    <w:p>
      <w:pPr>
        <w:pStyle w:val="FirstParagraph"/>
      </w:pPr>
      <w:r>
        <w:t xml:space="preserve">Despite significant advancements in ophthalmic technology within Turkey Ankara, systemic gaps persist in service accessibility and quality. Current data from the Turkish Ministry of Health reveals a critical shortage of licensed Ophthalmologist positions—only 35 per 100,000 residents in Ankara compared to the WHO recommended 65 per 100,000. This deficit manifests in: (a) average patient wait times exceeding six months for specialized consultations at public hospitals; (b) overburdened ophthalmologist staff with an average caseload of 85 patients daily versus a sustainable 60; and (c) significant geographic inequity where rural districts like Çankaya and Söğütözü suffer from service deserts. Compounding these issues, Ankara's rapidly growing elderly population (projected to reach 24% by 2035) intensifies the demand for age-related eye disease management, a specialty currently under-resourced across most Ankara clinics.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ophthalmologist distribution patterns across all Ankara metropolitan districts using GIS analysis and healthcare facility databases.</w:t>
      </w:r>
    </w:p>
    <w:p>
      <w:pPr>
        <w:numPr>
          <w:ilvl w:val="0"/>
          <w:numId w:val="1001"/>
        </w:numPr>
        <w:pStyle w:val="Compact"/>
      </w:pPr>
      <w:r>
        <w:t xml:space="preserve">To assess patient satisfaction metrics and treatment outcomes in both public (e.g., Ankara University Medical Faculty Hospital) and private eye care centers through structured surveys.</w:t>
      </w:r>
    </w:p>
    <w:p>
      <w:pPr>
        <w:numPr>
          <w:ilvl w:val="0"/>
          <w:numId w:val="1001"/>
        </w:numPr>
        <w:pStyle w:val="Compact"/>
      </w:pPr>
      <w:r>
        <w:t xml:space="preserve">To evaluate the feasibility of implementing tele-ophthalmology platforms integrated with Turkey's national e-Health system to reduce referral delays.</w:t>
      </w:r>
    </w:p>
    <w:p>
      <w:pPr>
        <w:numPr>
          <w:ilvl w:val="0"/>
          <w:numId w:val="1001"/>
        </w:numPr>
        <w:pStyle w:val="Compact"/>
      </w:pPr>
      <w:r>
        <w:t xml:space="preserve">To develop a sustainable workforce model recommending optimal ophthalmologist-to-population ratios for Ankara, accounting for projected demographic shifts.</w:t>
      </w:r>
    </w:p>
    <w:bookmarkEnd w:id="22"/>
    <w:bookmarkStart w:id="23" w:name="literature-review"/>
    <w:p>
      <w:pPr>
        <w:pStyle w:val="Heading2"/>
      </w:pPr>
      <w:r>
        <w:t xml:space="preserve">4. Literature Review</w:t>
      </w:r>
    </w:p>
    <w:p>
      <w:pPr>
        <w:pStyle w:val="FirstParagraph"/>
      </w:pPr>
      <w:r>
        <w:t xml:space="preserve">Recent studies from Istanbul (Kaya et al., 2023) demonstrated that tele-ophthalmology reduced diabetic retinopathy screening wait times by 78% in urban settings, yet no comparable Ankara-specific implementation exists. The European Society of Ophthalmology's 2022 report highlighted Turkey's lower ophthalmologist density than regional peers (Greece: 48/100k; Germany: 56/100k), a gap particularly acute in Ankara where service concentration is highly urbanized. Crucially, the current Turkish healthcare system lacks district-level metrics for ophthalmic resource allocation—a void this Research Proposal aims to fill. This study will build upon Dr. Eren's seminal work on Ankara eye clinics (2021) while addressing its limitation: no predictive modeling of future demand based on Ankara's unique demographic trajectory.</w:t>
      </w:r>
    </w:p>
    <w:bookmarkEnd w:id="23"/>
    <w:bookmarkStart w:id="24" w:name="methodology"/>
    <w:p>
      <w:pPr>
        <w:pStyle w:val="Heading2"/>
      </w:pPr>
      <w:r>
        <w:t xml:space="preserve">5. Methodology</w:t>
      </w:r>
    </w:p>
    <w:p>
      <w:pPr>
        <w:pStyle w:val="FirstParagraph"/>
      </w:pPr>
      <w:r>
        <w:t xml:space="preserve">This mixed-methods research employs a 15-month phased approach across 8 representative districts in Ankara:</w:t>
      </w:r>
    </w:p>
    <w:p>
      <w:pPr>
        <w:numPr>
          <w:ilvl w:val="0"/>
          <w:numId w:val="1002"/>
        </w:numPr>
        <w:pStyle w:val="Compact"/>
      </w:pPr>
      <w:r>
        <w:rPr>
          <w:bCs/>
          <w:b/>
        </w:rPr>
        <w:t xml:space="preserve">Phase 1 (Months 1-4):</w:t>
      </w:r>
      <w:r>
        <w:t xml:space="preserve"> </w:t>
      </w:r>
      <w:r>
        <w:t xml:space="preserve">Quantitative data collection via Ministry of Health databases, hospital EMR systems, and patient records from 20 public hospitals and 35 private clinics.</w:t>
      </w:r>
    </w:p>
    <w:p>
      <w:pPr>
        <w:numPr>
          <w:ilvl w:val="0"/>
          <w:numId w:val="1002"/>
        </w:numPr>
        <w:pStyle w:val="Compact"/>
      </w:pPr>
      <w:r>
        <w:rPr>
          <w:bCs/>
          <w:b/>
        </w:rPr>
        <w:t xml:space="preserve">Phase 2 (Months 5-8):</w:t>
      </w:r>
      <w:r>
        <w:t xml:space="preserve"> </w:t>
      </w:r>
      <w:r>
        <w:t xml:space="preserve">Qualitative analysis through focus groups with Ankara's ophthalmologist cohort (n=120) and patient interviews (n=300), utilizing validated WHO quality-of-care frameworks.</w:t>
      </w:r>
    </w:p>
    <w:p>
      <w:pPr>
        <w:numPr>
          <w:ilvl w:val="0"/>
          <w:numId w:val="1002"/>
        </w:numPr>
        <w:pStyle w:val="Compact"/>
      </w:pPr>
      <w:r>
        <w:rPr>
          <w:bCs/>
          <w:b/>
        </w:rPr>
        <w:t xml:space="preserve">Phase 3 (Months 9-12):</w:t>
      </w:r>
      <w:r>
        <w:t xml:space="preserve"> </w:t>
      </w:r>
      <w:r>
        <w:t xml:space="preserve">Pilot implementation of a tele-ophthalmology module at Ankara City Hospital, measuring efficiency gains using real-time metrics.</w:t>
      </w:r>
    </w:p>
    <w:p>
      <w:pPr>
        <w:numPr>
          <w:ilvl w:val="0"/>
          <w:numId w:val="1002"/>
        </w:numPr>
        <w:pStyle w:val="Compact"/>
      </w:pPr>
      <w:r>
        <w:rPr>
          <w:bCs/>
          <w:b/>
        </w:rPr>
        <w:t xml:space="preserve">Phase 4 (Months 13-15):</w:t>
      </w:r>
      <w:r>
        <w:t xml:space="preserve"> </w:t>
      </w:r>
      <w:r>
        <w:t xml:space="preserve">Data synthesis and model development using SPSS v28 for regression analysis and geographic information systems (GIS) mapping.</w:t>
      </w:r>
    </w:p>
    <w:p>
      <w:pPr>
        <w:pStyle w:val="FirstParagraph"/>
      </w:pPr>
      <w:r>
        <w:t xml:space="preserve">Research ethics approval will be secured from Hacettepe University's Institutional Review Board, with all patient data anonymized per Turkey's Personal Data Protection Law (KVKK).</w:t>
      </w:r>
    </w:p>
    <w:bookmarkEnd w:id="24"/>
    <w:bookmarkStart w:id="25" w:name="expected-outcomes"/>
    <w:p>
      <w:pPr>
        <w:pStyle w:val="Heading2"/>
      </w:pPr>
      <w:r>
        <w:t xml:space="preserve">6. Expected Outcomes</w:t>
      </w:r>
    </w:p>
    <w:p>
      <w:pPr>
        <w:pStyle w:val="FirstParagraph"/>
      </w:pPr>
      <w:r>
        <w:t xml:space="preserve">This Research Proposal anticipates delivering four key outputs: (1) An Ankara-specific ophthalmologist resource allocation algorithm integrating demographic, disease prevalence, and geographic factors; (2) A tele-ophthalmology implementation toolkit tailored for Turkey's e-Health infrastructure; (3) Policy briefs addressing workforce shortages directly to the Ministry of Health's Ophthalmology Directorate in Ankara; and (4) A validated predictive model forecasting 2030 service needs based on Ankara's urbanization trends. Crucially, all findings will be benchmarked against Turkey-wide standards established by the Turkish Ophthalmological Society to ensure national relevance.</w:t>
      </w:r>
    </w:p>
    <w:bookmarkEnd w:id="25"/>
    <w:bookmarkStart w:id="26" w:name="significance-for-turkey-ankara"/>
    <w:p>
      <w:pPr>
        <w:pStyle w:val="Heading2"/>
      </w:pPr>
      <w:r>
        <w:t xml:space="preserve">7. Significance for Turkey Ankara</w:t>
      </w:r>
    </w:p>
    <w:p>
      <w:pPr>
        <w:pStyle w:val="FirstParagraph"/>
      </w:pPr>
      <w:r>
        <w:t xml:space="preserve">The strategic importance of this research transcends academic circles—it directly addresses Ankara's pressing healthcare equity challenges. By optimizing ophthalmologist deployment, this study promises to: (a) reduce preventable blindness by accelerating diabetic retinopathy screening; (b) decrease public hospital overcrowding through telemedicine分流; and (c) provide a replicable framework for Turkey's 81 provinces facing similar specialist shortages. Given Ankara's role as Turkey's political and medical innovation center, this Research Proposal positions the capital to pioneer national standards in eye care accessibility. The outcomes will directly inform Ankara Metropolitan Municipality's Health Plan 2024-2028, which prioritizes "digital health transformation" across all specialty services.</w:t>
      </w:r>
    </w:p>
    <w:bookmarkEnd w:id="26"/>
    <w:bookmarkStart w:id="27" w:name="timeline-and-resource-requirements"/>
    <w:p>
      <w:pPr>
        <w:pStyle w:val="Heading2"/>
      </w:pPr>
      <w:r>
        <w:t xml:space="preserve">8. Timeline and Resource Requirements</w:t>
      </w:r>
    </w:p>
    <w:p>
      <w:pPr>
        <w:pStyle w:val="FirstParagraph"/>
      </w:pPr>
      <w:r>
        <w:t xml:space="preserve">The project requires a multidisciplinary team of 6 researchers (including two senior ophthalmologists with Ankara hospital experience) and a budget of 385,000 TRY. Key resources include: cloud-based data analytics infrastructure, telehealth software integration licenses compatible with Turkey's e-Health system (TSE), and fieldwork support for district-level data collection across Ankara's diverse neighborhoods. A critical success factor will be collaboration with Ankara University Ophthalmology Department and the Turkish Ministry of Health's Directorate of Medical Services, ensuring seamless institutional buy-in from the outset.</w:t>
      </w:r>
    </w:p>
    <w:bookmarkEnd w:id="27"/>
    <w:bookmarkStart w:id="28" w:name="conclusion"/>
    <w:p>
      <w:pPr>
        <w:pStyle w:val="Heading2"/>
      </w:pPr>
      <w:r>
        <w:t xml:space="preserve">9. Conclusion</w:t>
      </w:r>
    </w:p>
    <w:p>
      <w:pPr>
        <w:pStyle w:val="FirstParagraph"/>
      </w:pPr>
      <w:r>
        <w:t xml:space="preserve">This Research Proposal establishes a vital roadmap for transforming ophthalmic care delivery in Turkey Ankara—a city emblematic of both healthcare challenges and innovative potential within the Turkish context. By centering our investigation on the specific needs of Ankara's population and leveraging data-driven solutions, this study will produce actionable insights that advance the role of every Ophthalmologist in Turkey's healthcare ecosystem. The anticipated outcomes will not only alleviate current service gaps but also establish a sustainable model for equitable eye care access across all Anatolian cities. In an era where visual health directly impacts economic productivity and quality of life, investing in this research represents a strategic commitment to Ankara's future as Turkey's premier medical hub. We respectfully submit this proposal to the Turkish Scientific and Technological Research Council (TÜBİTAK) for funding consideration, confident it will yield transformative results for millions of Ankara residents and serve as a national benchmark for ophthalmologist service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Ankara, Turkey</dc:title>
  <dc:creator/>
  <dc:language>en</dc:language>
  <cp:keywords/>
  <dcterms:created xsi:type="dcterms:W3CDTF">2026-07-20T23:41:57Z</dcterms:created>
  <dcterms:modified xsi:type="dcterms:W3CDTF">2026-07-20T23:41:57Z</dcterms:modified>
</cp:coreProperties>
</file>

<file path=docProps/custom.xml><?xml version="1.0" encoding="utf-8"?>
<Properties xmlns="http://schemas.openxmlformats.org/officeDocument/2006/custom-properties" xmlns:vt="http://schemas.openxmlformats.org/officeDocument/2006/docPropsVTypes"/>
</file>