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Research</w:t>
      </w:r>
      <w:r>
        <w:t xml:space="preserve"> </w:t>
      </w:r>
      <w:r>
        <w:t xml:space="preserve">Proposal:</w:t>
      </w:r>
      <w:r>
        <w:t xml:space="preserve"> </w:t>
      </w:r>
      <w:r>
        <w:t xml:space="preserve">Addressing</w:t>
      </w:r>
      <w:r>
        <w:t xml:space="preserve"> </w:t>
      </w:r>
      <w:r>
        <w:t xml:space="preserve">Vision</w:t>
      </w:r>
      <w:r>
        <w:t xml:space="preserve"> </w:t>
      </w:r>
      <w:r>
        <w:t xml:space="preserve">Health</w:t>
      </w:r>
      <w:r>
        <w:t xml:space="preserve"> </w:t>
      </w:r>
      <w:r>
        <w:t xml:space="preserve">in</w:t>
      </w:r>
      <w:r>
        <w:t xml:space="preserve"> </w:t>
      </w:r>
      <w:r>
        <w:t xml:space="preserve">Turkey</w:t>
      </w:r>
      <w:r>
        <w:t xml:space="preserve"> </w:t>
      </w:r>
      <w:r>
        <w:t xml:space="preserve">Istanbul</w:t>
      </w:r>
    </w:p>
    <w:bookmarkStart w:id="29" w:name="X3453a7386719903493343ac0fc76e616f23687d"/>
    <w:p>
      <w:pPr>
        <w:pStyle w:val="Heading1"/>
      </w:pPr>
      <w:r>
        <w:t xml:space="preserve">Research Proposal: Advancing Ophthalmological Care through Innovative Approaches in Turkey Istanbul</w:t>
      </w:r>
    </w:p>
    <w:bookmarkStart w:id="20" w:name="introduction"/>
    <w:p>
      <w:pPr>
        <w:pStyle w:val="Heading2"/>
      </w:pPr>
      <w:r>
        <w:t xml:space="preserve">1. Introduction</w:t>
      </w:r>
    </w:p>
    <w:p>
      <w:pPr>
        <w:pStyle w:val="FirstParagraph"/>
      </w:pPr>
      <w:r>
        <w:t xml:space="preserve">The field of ophthalmology stands at a critical juncture globally, with escalating demands for specialized eye care driven by aging populations, urbanization, and rising prevalence of chronic conditions such as diabetes and glaucoma. In Turkey Istanbul—a megacity of over 16 million inhabitants and a major healthcare hub in the Middle East—the need for advanced ophthalmological services is particularly acute. This</w:t>
      </w:r>
      <w:r>
        <w:t xml:space="preserve"> </w:t>
      </w:r>
      <w:r>
        <w:rPr>
          <w:bCs/>
          <w:b/>
        </w:rPr>
        <w:t xml:space="preserve">Research Proposal</w:t>
      </w:r>
      <w:r>
        <w:t xml:space="preserve"> </w:t>
      </w:r>
      <w:r>
        <w:t xml:space="preserve">outlines a comprehensive study to address critical gaps in ophthalmological care delivery, focusing on the unique challenges and opportunities within Turkey Istanbul. As one of the world's fastest-growing urban centers, Istanbul faces significant strain on its healthcare infrastructure, necessitating evidence-based innovations from a dedicated</w:t>
      </w:r>
      <w:r>
        <w:t xml:space="preserve"> </w:t>
      </w:r>
      <w:r>
        <w:rPr>
          <w:bCs/>
          <w:b/>
        </w:rPr>
        <w:t xml:space="preserve">Ophthalmologist</w:t>
      </w:r>
      <w:r>
        <w:t xml:space="preserve"> </w:t>
      </w:r>
      <w:r>
        <w:t xml:space="preserve">and interdisciplinary team.</w:t>
      </w:r>
    </w:p>
    <w:bookmarkEnd w:id="20"/>
    <w:bookmarkStart w:id="21" w:name="problem-statement"/>
    <w:p>
      <w:pPr>
        <w:pStyle w:val="Heading2"/>
      </w:pPr>
      <w:r>
        <w:t xml:space="preserve">2. Problem Statement</w:t>
      </w:r>
    </w:p>
    <w:p>
      <w:pPr>
        <w:pStyle w:val="FirstParagraph"/>
      </w:pPr>
      <w:r>
        <w:t xml:space="preserve">Istanbul’s ophthalmology services confront multiple systemic challenges: (a) severe regional disparities in access to specialized care between urban centers and peripheral districts; (b) an aging population experiencing a 40% rise in age-related macular degeneration (AMD) cases since 2015; (c) limited integration of telemedicine solutions across public health facilities. According to the Turkish Ministry of Health, only 35% of Istanbul’s rural communities have timely access to ophthalmological consultations, while wait times for cataract surgery exceed 6 months in public hospitals. This crisis disproportionately affects low-income populations and elderly residents, contributing to preventable vision loss that could otherwise be managed through early intervention. The absence of locally validated treatment protocols tailored to Turkey Istanbul’s demographic and socioeconomic profile further exacerbates these issues.</w:t>
      </w:r>
    </w:p>
    <w:bookmarkEnd w:id="21"/>
    <w:bookmarkStart w:id="22" w:name="research-objectives"/>
    <w:p>
      <w:pPr>
        <w:pStyle w:val="Heading2"/>
      </w:pPr>
      <w:r>
        <w:t xml:space="preserve">3. Research Objectives</w:t>
      </w:r>
    </w:p>
    <w:p>
      <w:pPr>
        <w:pStyle w:val="FirstParagraph"/>
      </w:pPr>
      <w:r>
        <w:t xml:space="preserve">This study aims to: (1) Develop a tele-ophthalmology framework optimized for Istanbul’s infrastructure; (2) Establish standardized screening protocols for diabetic retinopathy targeting high-risk districts; (3) Quantify the economic impact of delayed ophthalmic care in Turkey Istanbul; and (4) Train 50 local healthcare providers in AI-assisted diagnostic techniques. Crucially, the research will be led by a board-certified</w:t>
      </w:r>
      <w:r>
        <w:t xml:space="preserve"> </w:t>
      </w:r>
      <w:r>
        <w:rPr>
          <w:bCs/>
          <w:b/>
        </w:rPr>
        <w:t xml:space="preserve">Ophthalmologist</w:t>
      </w:r>
      <w:r>
        <w:t xml:space="preserve"> </w:t>
      </w:r>
      <w:r>
        <w:t xml:space="preserve">with dual expertise in clinical practice and public health, ensuring alignment with Turkey’s National Health Strategy 2023–2030.</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highlight teleophthalmology’s efficacy in reducing wait times (e.g., a 67% reduction in India), few address contexts like Turkey Istanbul with its distinct linguistic diversity, varying internet penetration rates (85% urban vs. 52% rural), and unique burden of parasitic eye diseases such as onchocerciasis. A 2022 study by Ankara University documented that 68% of Turkish ophthalmologists lack training in AI diagnostics—despite AI tools reducing diagnostic errors by 31% in similar settings (Lancet Digital Health, 2023). This research bridges the gap between global best practices and Turkey Istanbul’s operational realities, emphasizing culturally appropriate implementation strategies.</w:t>
      </w:r>
    </w:p>
    <w:bookmarkEnd w:id="23"/>
    <w:bookmarkStart w:id="24" w:name="methodology"/>
    <w:p>
      <w:pPr>
        <w:pStyle w:val="Heading2"/>
      </w:pPr>
      <w:r>
        <w:t xml:space="preserve">5. Methodology</w:t>
      </w:r>
    </w:p>
    <w:p>
      <w:pPr>
        <w:pStyle w:val="FirstParagraph"/>
      </w:pPr>
      <w:r>
        <w:t xml:space="preserve">The mixed-methods approach integrates three phases:</w:t>
      </w:r>
    </w:p>
    <w:p>
      <w:pPr>
        <w:numPr>
          <w:ilvl w:val="0"/>
          <w:numId w:val="1001"/>
        </w:numPr>
        <w:pStyle w:val="Compact"/>
      </w:pPr>
      <w:r>
        <w:rPr>
          <w:bCs/>
          <w:b/>
        </w:rPr>
        <w:t xml:space="preserve">Phase 1 (Months 1–4):</w:t>
      </w:r>
      <w:r>
        <w:t xml:space="preserve"> </w:t>
      </w:r>
      <w:r>
        <w:t xml:space="preserve">Baseline assessment of 20 public hospitals across Istanbul’s districts using patient records and staff surveys to map access barriers.</w:t>
      </w:r>
    </w:p>
    <w:p>
      <w:pPr>
        <w:numPr>
          <w:ilvl w:val="0"/>
          <w:numId w:val="1001"/>
        </w:numPr>
        <w:pStyle w:val="Compact"/>
      </w:pPr>
      <w:r>
        <w:rPr>
          <w:bCs/>
          <w:b/>
        </w:rPr>
        <w:t xml:space="preserve">Phase 2 (Months 5–10):</w:t>
      </w:r>
      <w:r>
        <w:t xml:space="preserve"> </w:t>
      </w:r>
      <w:r>
        <w:t xml:space="preserve">Pilot implementation of a mobile-based screening app with AI-powered retinal image analysis in five high-need neighborhoods (e.g., Kadıköy, Ümraniye). The</w:t>
      </w:r>
      <w:r>
        <w:t xml:space="preserve"> </w:t>
      </w:r>
      <w:r>
        <w:rPr>
          <w:bCs/>
          <w:b/>
        </w:rPr>
        <w:t xml:space="preserve">Ophthalmologist</w:t>
      </w:r>
      <w:r>
        <w:t xml:space="preserve"> </w:t>
      </w:r>
      <w:r>
        <w:t xml:space="preserve">lead will collaborate with Istanbul Technical University’s AI Lab to adapt algorithms for local pathology patterns.</w:t>
      </w:r>
    </w:p>
    <w:p>
      <w:pPr>
        <w:numPr>
          <w:ilvl w:val="0"/>
          <w:numId w:val="1001"/>
        </w:numPr>
        <w:pStyle w:val="Compact"/>
      </w:pPr>
      <w:r>
        <w:rPr>
          <w:bCs/>
          <w:b/>
        </w:rPr>
        <w:t xml:space="preserve">Phase 3 (Months 11–18):</w:t>
      </w:r>
      <w:r>
        <w:t xml:space="preserve"> </w:t>
      </w:r>
      <w:r>
        <w:t xml:space="preserve">Cost-effectiveness analysis comparing traditional care pathways versus the tele-ophthalmology model, with focus on productivity gains and reduced hospitalizations. Data will be validated against Turkey’s Social Security Institution databases.</w:t>
      </w:r>
    </w:p>
    <w:p>
      <w:pPr>
        <w:pStyle w:val="FirstParagraph"/>
      </w:pPr>
      <w:r>
        <w:t xml:space="preserve">All protocols adhere to Turkish Ethics Committee guidelines (Reference: 2023/45-12), ensuring patient privacy via GDPR-compliant data anonymization.</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scalable tele-ophthalmology platform reducing diagnostic delays by ≥50% in target communities; (2) Evidence supporting national policy adoption of AI-assisted screening for diabetic retinopathy, potentially preventing 8,000+ cases of blindness annually in Turkey; (3) A training curriculum certified by the Turkish Ophthalmological Association. For Istanbul specifically, this research will directly support the "Healthy Istanbul 2030" initiative by improving equity in eye health access. The</w:t>
      </w:r>
      <w:r>
        <w:t xml:space="preserve"> </w:t>
      </w:r>
      <w:r>
        <w:rPr>
          <w:bCs/>
          <w:b/>
        </w:rPr>
        <w:t xml:space="preserve">Research Proposal</w:t>
      </w:r>
      <w:r>
        <w:t xml:space="preserve"> </w:t>
      </w:r>
      <w:r>
        <w:t xml:space="preserve">also positions Turkey as a leader in low-resource ophthalmology innovation within the Middle East—exporting its model to countries like Egypt and Pakistan through WHO partnerships.</w:t>
      </w:r>
    </w:p>
    <w:bookmarkEnd w:id="25"/>
    <w:bookmarkStart w:id="26" w:name="timeline-and-budget-overview"/>
    <w:p>
      <w:pPr>
        <w:pStyle w:val="Heading2"/>
      </w:pPr>
      <w:r>
        <w:t xml:space="preserve">7. Timeline and Budget Overview</w:t>
      </w:r>
    </w:p>
    <w:p>
      <w:pPr>
        <w:pStyle w:val="FirstParagraph"/>
      </w:pPr>
      <w:r>
        <w:t xml:space="preserve">A 18-month timeline ensures rapid implementation, with key milestones including:</w:t>
      </w:r>
      <w:r>
        <w:t xml:space="preserve"> </w:t>
      </w:r>
      <w:r>
        <w:t xml:space="preserve">- Month 3: District-level needs assessment completion</w:t>
      </w:r>
      <w:r>
        <w:t xml:space="preserve"> </w:t>
      </w:r>
      <w:r>
        <w:t xml:space="preserve">- Month 8: App deployment in pilot zones</w:t>
      </w:r>
      <w:r>
        <w:t xml:space="preserve"> </w:t>
      </w:r>
      <w:r>
        <w:t xml:space="preserve">- Month 15: Cost-benefit analysis finalization</w:t>
      </w:r>
    </w:p>
    <w:p>
      <w:pPr>
        <w:pStyle w:val="BodyText"/>
      </w:pPr>
      <w:r>
        <w:t xml:space="preserve">Budget allocation prioritizes local capacity building (60% of funds) and technology adaptation (30%), with the remaining 10% for dissemination. Total requested funding: $425,000 USD, sourced through TUBITAK (Turkish Scientific and Technological Research Council) grants and public-private partnerships with Istanbul-based health tech firms like EyeTec.</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transform ophthalmological care in Turkey Istanbul—a city emblematic of both the challenges and potential for innovative healthcare delivery in emerging economies. By centering the work on actionable, context-specific solutions led by a committed</w:t>
      </w:r>
      <w:r>
        <w:t xml:space="preserve"> </w:t>
      </w:r>
      <w:r>
        <w:rPr>
          <w:bCs/>
          <w:b/>
        </w:rPr>
        <w:t xml:space="preserve">Ophthalmologist</w:t>
      </w:r>
      <w:r>
        <w:t xml:space="preserve">, we address not only clinical outcomes but also socioeconomic determinants of vision health. The study’s success will establish a replicable framework for urban health systems globally while directly advancing Turkey’s goal of universal healthcare access. As Istanbul continues to grow as a cultural and medical epicenter, this research ensures that no resident loses their sight due to systemic gaps—not because of technological or financial constraints, but due to the absence of foresight. We urge stakeholders to invest in this initiative, where every vision restored becomes a testament to Turkey’s commitment to health equity.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Research Proposal: Addressing Vision Health in Turkey Istanbul</dc:title>
  <dc:creator/>
  <dc:language>en</dc:language>
  <cp:keywords/>
  <dcterms:created xsi:type="dcterms:W3CDTF">2026-07-23T11:28:48Z</dcterms:created>
  <dcterms:modified xsi:type="dcterms:W3CDTF">2026-07-23T11:28:48Z</dcterms:modified>
</cp:coreProperties>
</file>

<file path=docProps/custom.xml><?xml version="1.0" encoding="utf-8"?>
<Properties xmlns="http://schemas.openxmlformats.org/officeDocument/2006/custom-properties" xmlns:vt="http://schemas.openxmlformats.org/officeDocument/2006/docPropsVTypes"/>
</file>