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ecea012cfa2153e965b879f34fba3e26e15af59"/>
    <w:p>
      <w:pPr>
        <w:pStyle w:val="Heading1"/>
      </w:pPr>
      <w:r>
        <w:t xml:space="preserve">Research Proposal: Enhancing Ophthalmic Services Through Strategic Integration of Advanced Ophthalmologist Training and Technology in United Arab Emirates Abu Dhabi</w:t>
      </w:r>
    </w:p>
    <w:bookmarkStart w:id="20" w:name="introduction"/>
    <w:p>
      <w:pPr>
        <w:pStyle w:val="Heading2"/>
      </w:pPr>
      <w:r>
        <w:t xml:space="preserve">1. Introduction</w:t>
      </w:r>
    </w:p>
    <w:p>
      <w:pPr>
        <w:pStyle w:val="FirstParagraph"/>
      </w:pPr>
      <w:r>
        <w:t xml:space="preserve">The United Arab Emirates (UAE), particularly Abu Dhabi, has achieved remarkable progress in healthcare infrastructure, yet eye care remains an area requiring strategic advancement. With a rapidly aging population, rising diabetes prevalence (affecting 15.4% of adults in Abu Dhabi), and urbanization trends, the burden of sight-threatening conditions like diabetic retinopathy and glaucoma is escalating. This</w:t>
      </w:r>
      <w:r>
        <w:t xml:space="preserve"> </w:t>
      </w:r>
      <w:r>
        <w:rPr>
          <w:bCs/>
          <w:b/>
        </w:rPr>
        <w:t xml:space="preserve">Research Proposal</w:t>
      </w:r>
      <w:r>
        <w:t xml:space="preserve"> </w:t>
      </w:r>
      <w:r>
        <w:t xml:space="preserve">addresses the critical need for optimizing ophthalmic services through specialized</w:t>
      </w:r>
      <w:r>
        <w:t xml:space="preserve"> </w:t>
      </w:r>
      <w:r>
        <w:rPr>
          <w:bCs/>
          <w:b/>
        </w:rPr>
        <w:t xml:space="preserve">Ophthalmologist</w:t>
      </w:r>
      <w:r>
        <w:t xml:space="preserve"> </w:t>
      </w:r>
      <w:r>
        <w:t xml:space="preserve">workforce development and technology integration within the</w:t>
      </w:r>
      <w:r>
        <w:t xml:space="preserve"> </w:t>
      </w:r>
      <w:r>
        <w:rPr>
          <w:bCs/>
          <w:b/>
        </w:rPr>
        <w:t xml:space="preserve">United Arab Emirates Abu Dhabi</w:t>
      </w:r>
      <w:r>
        <w:t xml:space="preserve">'s healthcare ecosystem. Abu Dhabi's commitment to "Healthy Abu Dhabi 2030" necessitates evidence-based solutions to prevent avoidable blindness and align with national health priorities.</w:t>
      </w:r>
    </w:p>
    <w:bookmarkEnd w:id="20"/>
    <w:bookmarkStart w:id="21" w:name="problem-statement"/>
    <w:p>
      <w:pPr>
        <w:pStyle w:val="Heading2"/>
      </w:pPr>
      <w:r>
        <w:t xml:space="preserve">2. Problem Statement</w:t>
      </w:r>
    </w:p>
    <w:p>
      <w:pPr>
        <w:pStyle w:val="FirstParagraph"/>
      </w:pPr>
      <w:r>
        <w:t xml:space="preserve">Despite Abu Dhabi's world-class medical facilities, significant gaps persist in ophthalmic care accessibility and outcomes. Current data indicates a 35% patient wait time for specialist consultations in public health centers, disproportionately affecting rural communities and elderly populations. The existing</w:t>
      </w:r>
      <w:r>
        <w:t xml:space="preserve"> </w:t>
      </w:r>
      <w:r>
        <w:rPr>
          <w:bCs/>
          <w:b/>
        </w:rPr>
        <w:t xml:space="preserve">Ophthalmologist</w:t>
      </w:r>
      <w:r>
        <w:t xml:space="preserve"> </w:t>
      </w:r>
      <w:r>
        <w:t xml:space="preserve">workforce (approximately 200 specialists serving 4.5 million residents) faces high caseloads, with only 65% of ophthalmic facilities equipped with advanced diagnostic tools like OCT and AI-assisted retinal imaging. This deficit directly impacts the UAE's Vision 2030 goals for healthcare excellence. Critically, no comprehensive study has analyzed how technology adoption correlates with</w:t>
      </w:r>
      <w:r>
        <w:t xml:space="preserve"> </w:t>
      </w:r>
      <w:r>
        <w:rPr>
          <w:bCs/>
          <w:b/>
        </w:rPr>
        <w:t xml:space="preserve">Ophthalmologist</w:t>
      </w:r>
      <w:r>
        <w:t xml:space="preserve"> </w:t>
      </w:r>
      <w:r>
        <w:t xml:space="preserve">productivity or patient outcomes specifically within Abu Dhabi's unique demographic and geographic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and skill composition of ophthalmologists across Abu Dhabi's public and private healthcare sectors.</w:t>
      </w:r>
    </w:p>
    <w:p>
      <w:pPr>
        <w:numPr>
          <w:ilvl w:val="0"/>
          <w:numId w:val="1001"/>
        </w:numPr>
        <w:pStyle w:val="Compact"/>
      </w:pPr>
      <w:r>
        <w:t xml:space="preserve">To evaluate the correlation between advanced diagnostic technology integration (tele-ophthalmology, AI diagnostics) and clinical outcomes in diabetic retinopathy screening.</w:t>
      </w:r>
    </w:p>
    <w:p>
      <w:pPr>
        <w:numPr>
          <w:ilvl w:val="0"/>
          <w:numId w:val="1001"/>
        </w:numPr>
        <w:pStyle w:val="Compact"/>
      </w:pPr>
      <w:r>
        <w:t xml:space="preserve">To develop a scalable model for</w:t>
      </w:r>
      <w:r>
        <w:t xml:space="preserve"> </w:t>
      </w:r>
      <w:r>
        <w:rPr>
          <w:bCs/>
          <w:b/>
        </w:rPr>
        <w:t xml:space="preserve">Ophthalmologist</w:t>
      </w:r>
      <w:r>
        <w:t xml:space="preserve"> </w:t>
      </w:r>
      <w:r>
        <w:t xml:space="preserve">training that addresses emerging needs in retinal diseases and geriatric eye care.</w:t>
      </w:r>
    </w:p>
    <w:p>
      <w:pPr>
        <w:numPr>
          <w:ilvl w:val="0"/>
          <w:numId w:val="1001"/>
        </w:numPr>
        <w:pStyle w:val="Compact"/>
      </w:pPr>
      <w:r>
        <w:t xml:space="preserve">To propose evidence-based policy recommendations for optimizing ophthalmic service delivery within the UAE health system, with specific applicability to Abu Dhabi.</w:t>
      </w:r>
    </w:p>
    <w:bookmarkEnd w:id="22"/>
    <w:bookmarkStart w:id="27" w:name="methodology"/>
    <w:p>
      <w:pPr>
        <w:pStyle w:val="Heading2"/>
      </w:pPr>
      <w:r>
        <w:t xml:space="preserve">4. Methodology</w:t>
      </w:r>
    </w:p>
    <w:p>
      <w:pPr>
        <w:pStyle w:val="FirstParagraph"/>
      </w:pPr>
      <w:r>
        <w:t xml:space="preserve">This mixed-methods study will employ a 15-month timeline across four phases:</w:t>
      </w:r>
    </w:p>
    <w:bookmarkStart w:id="23" w:name="phase-1-baseline-assessment-months-1-4"/>
    <w:p>
      <w:pPr>
        <w:pStyle w:val="Heading3"/>
      </w:pPr>
      <w:r>
        <w:t xml:space="preserve">Phase 1: Baseline Assessment (Months 1-4)</w:t>
      </w:r>
    </w:p>
    <w:p>
      <w:pPr>
        <w:pStyle w:val="FirstParagraph"/>
      </w:pPr>
      <w:r>
        <w:t xml:space="preserve">A quantitative survey of all Abu Dhabi Health Services (SEHA) facilities, private clinics, and community health centers. Data collection will include ophthalmologist staffing ratios (per 100,000 population), equipment inventory, patient wait times, and disease prevalence metrics from electronic health records.</w:t>
      </w:r>
    </w:p>
    <w:bookmarkEnd w:id="23"/>
    <w:bookmarkStart w:id="24" w:name="Xc905fc2e2020ac2ab444dc6fcfb7ccf7be5b193"/>
    <w:p>
      <w:pPr>
        <w:pStyle w:val="Heading3"/>
      </w:pPr>
      <w:r>
        <w:t xml:space="preserve">Phase 2: Technology Impact Analysis (Months 5-8)</w:t>
      </w:r>
    </w:p>
    <w:p>
      <w:pPr>
        <w:pStyle w:val="FirstParagraph"/>
      </w:pPr>
      <w:r>
        <w:t xml:space="preserve">A prospective cohort study comparing outcomes in two matched Abu Dhabi districts: one implementing AI-assisted diabetic retinopathy screening (using tools like IDx-DR) with a control district. Primary metrics include detection rate of sight-threatening retinopathy, time-to-treatment, and patient satisfaction.</w:t>
      </w:r>
    </w:p>
    <w:bookmarkEnd w:id="24"/>
    <w:bookmarkStart w:id="25" w:name="X2ec50ef175ab286b60978d5f49cf9f2f242dbbb"/>
    <w:p>
      <w:pPr>
        <w:pStyle w:val="Heading3"/>
      </w:pPr>
      <w:r>
        <w:t xml:space="preserve">Phase 3: Ophthalmologist Workforce Evaluation (Months 9-12)</w:t>
      </w:r>
    </w:p>
    <w:p>
      <w:pPr>
        <w:pStyle w:val="FirstParagraph"/>
      </w:pPr>
      <w:r>
        <w:t xml:space="preserve">Focus groups with 40+ practicing ophthalmologists across Abu Dhabi to identify training gaps in emerging fields (e.g., genetic eye diseases, advanced glaucoma management). Skill assessments will be conducted using standardized clinical simulations.</w:t>
      </w:r>
    </w:p>
    <w:bookmarkEnd w:id="25"/>
    <w:bookmarkStart w:id="26" w:name="X6a4cd70b6038e8e726fd36e6640a8cca571ef54"/>
    <w:p>
      <w:pPr>
        <w:pStyle w:val="Heading3"/>
      </w:pPr>
      <w:r>
        <w:t xml:space="preserve">Phase 4: Model Development &amp; Policy Integration (Months 13-15)</w:t>
      </w:r>
    </w:p>
    <w:p>
      <w:pPr>
        <w:pStyle w:val="FirstParagraph"/>
      </w:pPr>
      <w:r>
        <w:t xml:space="preserve">Integration of findings to develop Abu Dhabi-specific protocols for technology deployment and a competency framework for ophthalmologist training. Stakeholder workshops with the Department of Health - Abu Dhabi (DoH) will ensure policy alignment.</w:t>
      </w:r>
    </w:p>
    <w:bookmarkEnd w:id="26"/>
    <w:bookmarkEnd w:id="27"/>
    <w:bookmarkStart w:id="28"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four key outcomes critical to the</w:t>
      </w:r>
      <w:r>
        <w:t xml:space="preserve"> </w:t>
      </w:r>
      <w:r>
        <w:rPr>
          <w:bCs/>
          <w:b/>
        </w:rPr>
        <w:t xml:space="preserve">United Arab Emirates Abu Dhabi</w:t>
      </w:r>
      <w:r>
        <w:t xml:space="preserve">'s healthcare strategy:</w:t>
      </w:r>
    </w:p>
    <w:p>
      <w:pPr>
        <w:numPr>
          <w:ilvl w:val="0"/>
          <w:numId w:val="1002"/>
        </w:numPr>
        <w:pStyle w:val="Compact"/>
      </w:pPr>
      <w:r>
        <w:rPr>
          <w:iCs/>
          <w:i/>
        </w:rPr>
        <w:t xml:space="preserve">Workforce Optimization Framework:</w:t>
      </w:r>
      <w:r>
        <w:t xml:space="preserve"> </w:t>
      </w:r>
      <w:r>
        <w:t xml:space="preserve">A dynamic model predicting optimal ophthalmologist deployment based on real-time demographic and disease burden data, addressing Abu Dhabi's current 1:22,500 specialist-to-population ratio (below WHO recommendations).</w:t>
      </w:r>
    </w:p>
    <w:p>
      <w:pPr>
        <w:numPr>
          <w:ilvl w:val="0"/>
          <w:numId w:val="1002"/>
        </w:numPr>
        <w:pStyle w:val="Compact"/>
      </w:pPr>
      <w:r>
        <w:rPr>
          <w:iCs/>
          <w:i/>
        </w:rPr>
        <w:t xml:space="preserve">Evidence for Technology Adoption:</w:t>
      </w:r>
      <w:r>
        <w:t xml:space="preserve"> </w:t>
      </w:r>
      <w:r>
        <w:t xml:space="preserve">Quantifiable data demonstrating that AI-assisted screening reduces diagnosis time by ≥40% and improves early detection rates by 25-30%, directly supporting Abu Dhabi's digital health transformation goals.</w:t>
      </w:r>
    </w:p>
    <w:p>
      <w:pPr>
        <w:numPr>
          <w:ilvl w:val="0"/>
          <w:numId w:val="1002"/>
        </w:numPr>
        <w:pStyle w:val="Compact"/>
      </w:pPr>
      <w:r>
        <w:rPr>
          <w:iCs/>
          <w:i/>
        </w:rPr>
        <w:t xml:space="preserve">National Training Curriculum:</w:t>
      </w:r>
      <w:r>
        <w:t xml:space="preserve"> </w:t>
      </w:r>
      <w:r>
        <w:t xml:space="preserve">A culturally adapted, competency-based training program for ophthalmologists addressing UAE-specific conditions (e.g., high prevalence of corneal diseases in desert environments) and telemedicine protocols.</w:t>
      </w:r>
    </w:p>
    <w:p>
      <w:pPr>
        <w:numPr>
          <w:ilvl w:val="0"/>
          <w:numId w:val="1002"/>
        </w:numPr>
        <w:pStyle w:val="Compact"/>
      </w:pPr>
      <w:r>
        <w:rPr>
          <w:iCs/>
          <w:i/>
        </w:rPr>
        <w:t xml:space="preserve">Policy Blueprint:</w:t>
      </w:r>
      <w:r>
        <w:t xml:space="preserve"> </w:t>
      </w:r>
      <w:r>
        <w:t xml:space="preserve">A roadmap for DoH to integrate technology and workforce strategies into Abu Dhabi's "Ophthalmic Care Master Plan," reducing avoidable blindness by 15-20% within five years.</w:t>
      </w:r>
    </w:p>
    <w:p>
      <w:pPr>
        <w:pStyle w:val="FirstParagraph"/>
      </w:pPr>
      <w:r>
        <w:t xml:space="preserve">The significance extends beyond Abu Dhabi: findings will contribute to GCC-wide ophthalmic standards and serve as a model for rapidly developing healthcare systems globally. By directly linking</w:t>
      </w:r>
      <w:r>
        <w:t xml:space="preserve"> </w:t>
      </w:r>
      <w:r>
        <w:rPr>
          <w:bCs/>
          <w:b/>
        </w:rPr>
        <w:t xml:space="preserve">Ophthalmologist</w:t>
      </w:r>
      <w:r>
        <w:t xml:space="preserve"> </w:t>
      </w:r>
      <w:r>
        <w:t xml:space="preserve">capabilities with technology-enabled care, this research addresses a critical gap in the UAE's journey toward sustainable healthcare excellence.</w:t>
      </w:r>
    </w:p>
    <w:bookmarkEnd w:id="28"/>
    <w:bookmarkStart w:id="29" w:name="alignment-with-abu-dhabi-health-strategy"/>
    <w:p>
      <w:pPr>
        <w:pStyle w:val="Heading2"/>
      </w:pPr>
      <w:r>
        <w:t xml:space="preserve">6. Alignment with Abu Dhabi Health Strategy</w:t>
      </w:r>
    </w:p>
    <w:p>
      <w:pPr>
        <w:pStyle w:val="FirstParagraph"/>
      </w:pPr>
      <w:r>
        <w:t xml:space="preserve">This initiative explicitly supports "Abu Dhabi Vision 2030" and the UAE National Health Strategy 2018-2030, which prioritize:</w:t>
      </w:r>
    </w:p>
    <w:p>
      <w:pPr>
        <w:numPr>
          <w:ilvl w:val="0"/>
          <w:numId w:val="1003"/>
        </w:numPr>
        <w:pStyle w:val="Compact"/>
      </w:pPr>
      <w:r>
        <w:rPr>
          <w:iCs/>
          <w:i/>
        </w:rPr>
        <w:t xml:space="preserve">Preventive Care Expansion:</w:t>
      </w:r>
      <w:r>
        <w:t xml:space="preserve"> </w:t>
      </w:r>
      <w:r>
        <w:t xml:space="preserve">Targeting diabetic retinopathy—a leading cause of blindness in Abu Dhabi—through early detection systems.</w:t>
      </w:r>
    </w:p>
    <w:p>
      <w:pPr>
        <w:numPr>
          <w:ilvl w:val="0"/>
          <w:numId w:val="1003"/>
        </w:numPr>
        <w:pStyle w:val="Compact"/>
      </w:pPr>
      <w:r>
        <w:rPr>
          <w:iCs/>
          <w:i/>
        </w:rPr>
        <w:t xml:space="preserve">Technology-Driven Efficiency:</w:t>
      </w:r>
      <w:r>
        <w:t xml:space="preserve"> </w:t>
      </w:r>
      <w:r>
        <w:t xml:space="preserve">Leveraging UAE's existing smart city infrastructure (e.g., Tawasol platform) for seamless ophthalmic data exchange.</w:t>
      </w:r>
    </w:p>
    <w:p>
      <w:pPr>
        <w:numPr>
          <w:ilvl w:val="0"/>
          <w:numId w:val="1003"/>
        </w:numPr>
        <w:pStyle w:val="Compact"/>
      </w:pPr>
      <w:r>
        <w:rPr>
          <w:iCs/>
          <w:i/>
        </w:rPr>
        <w:t xml:space="preserve">Workforce Development:</w:t>
      </w:r>
      <w:r>
        <w:t xml:space="preserve"> </w:t>
      </w:r>
      <w:r>
        <w:t xml:space="preserve">Addressing the Abu Dhabi Health Services' 2023 report identifying ophthalmology as a high-priority specialty for advanced training.</w:t>
      </w:r>
    </w:p>
    <w:bookmarkEnd w:id="29"/>
    <w:bookmarkStart w:id="30" w:name="X9331d0ebe057be4fc004309dbe9fb41977fca15"/>
    <w:p>
      <w:pPr>
        <w:pStyle w:val="Heading2"/>
      </w:pPr>
      <w:r>
        <w:t xml:space="preserve">7. Ethical Considerations and Sustainability</w:t>
      </w:r>
    </w:p>
    <w:p>
      <w:pPr>
        <w:pStyle w:val="FirstParagraph"/>
      </w:pPr>
      <w:r>
        <w:t xml:space="preserve">All patient data will comply with UAE Federal Law No. 45 of 2016 on Health Data Protection and Abu Dhabi's DoH ethical guidelines. Patient consent protocols will be reviewed by the Department of Health - Abu Dhabi Ethics Committee. For sustainability, the proposed training model will integrate with the newly launched Abu Dhabi University College of Medicine and Health Sciences' ophthalmology residency program, ensuring long-term institutional capacity building.</w:t>
      </w:r>
    </w:p>
    <w:bookmarkEnd w:id="30"/>
    <w:bookmarkStart w:id="31" w:name="conclusion"/>
    <w:p>
      <w:pPr>
        <w:pStyle w:val="Heading2"/>
      </w:pPr>
      <w:r>
        <w:t xml:space="preserve">8. Conclusion</w:t>
      </w:r>
    </w:p>
    <w:p>
      <w:pPr>
        <w:pStyle w:val="FirstParagraph"/>
      </w:pPr>
      <w:r>
        <w:t xml:space="preserve">The escalating demand for specialized eye care in the</w:t>
      </w:r>
      <w:r>
        <w:t xml:space="preserve"> </w:t>
      </w:r>
      <w:r>
        <w:rPr>
          <w:bCs/>
          <w:b/>
        </w:rPr>
        <w:t xml:space="preserve">United Arab Emirates Abu Dhabi</w:t>
      </w:r>
      <w:r>
        <w:t xml:space="preserve"> </w:t>
      </w:r>
      <w:r>
        <w:t xml:space="preserve">demands a research-driven approach to optimize the role of the modern</w:t>
      </w:r>
      <w:r>
        <w:t xml:space="preserve"> </w:t>
      </w:r>
      <w:r>
        <w:rPr>
          <w:bCs/>
          <w:b/>
        </w:rPr>
        <w:t xml:space="preserve">Ophthalmologist</w:t>
      </w:r>
      <w:r>
        <w:t xml:space="preserve">. This comprehensive</w:t>
      </w:r>
      <w:r>
        <w:t xml:space="preserve"> </w:t>
      </w:r>
      <w:r>
        <w:rPr>
          <w:bCs/>
          <w:b/>
        </w:rPr>
        <w:t xml:space="preserve">Research Proposal</w:t>
      </w:r>
      <w:r>
        <w:t xml:space="preserve"> </w:t>
      </w:r>
      <w:r>
        <w:t xml:space="preserve">outlines a targeted investigation into workforce dynamics, technology efficacy, and training innovation. By grounding solutions in Abu Dhabi's unique demographic and infrastructural context, this study will deliver actionable insights to reduce sight loss, enhance patient experiences, and position the emirate as a leader in innovative ophthalmic care within the GCC region. The proposed work transcends academic inquiry—it represents a vital investment in preserving vision for generations of Abu Dhabi residents while advancing the UAE's global healthcare reputation.</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United Arab Emirates Abu Dhabi</dc:title>
  <dc:creator/>
  <dc:language>en</dc:language>
  <cp:keywords/>
  <dcterms:created xsi:type="dcterms:W3CDTF">2025-12-11T02:08:07Z</dcterms:created>
  <dcterms:modified xsi:type="dcterms:W3CDTF">2025-12-11T02:08:07Z</dcterms:modified>
</cp:coreProperties>
</file>

<file path=docProps/custom.xml><?xml version="1.0" encoding="utf-8"?>
<Properties xmlns="http://schemas.openxmlformats.org/officeDocument/2006/custom-properties" xmlns:vt="http://schemas.openxmlformats.org/officeDocument/2006/docPropsVTypes"/>
</file>