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26c6e5b02ff5d60c911ae9ef85456f5de6cb31d"/>
    <w:p>
      <w:pPr>
        <w:pStyle w:val="Heading1"/>
      </w:pPr>
      <w:r>
        <w:t xml:space="preserve">Research Proposal: Optimizing Ophthalmic Services and Patient Outcomes in United Kingdom Birmingham</w:t>
      </w:r>
    </w:p>
    <w:bookmarkStart w:id="20" w:name="introduction"/>
    <w:p>
      <w:pPr>
        <w:pStyle w:val="Heading2"/>
      </w:pPr>
      <w:r>
        <w:t xml:space="preserve">1. Introduction</w:t>
      </w:r>
    </w:p>
    <w:p>
      <w:pPr>
        <w:pStyle w:val="FirstParagraph"/>
      </w:pPr>
      <w:r>
        <w:t xml:space="preserve">The provision of specialized ophthalmic care within the United Kingdom remains a critical public health priority, particularly in urban centers experiencing demographic shifts and rising chronic conditions. Birmingham, as the UK's second-largest city with a diverse population of over 1.2 million residents, presents unique challenges for eye health services. Current data indicates that Birmingham has a 30% higher prevalence of diabetic retinopathy compared to national averages and faces significant backlogs in cataract surgery waiting lists exceeding 18 months in some Trusts. This Research Proposal addresses the urgent need for evidence-based strategies to enhance the effectiveness of the Ophthalmologist-led care model within Birmingham's healthcare ecosystem, directly contributing to NHS England's Long Term Plan target of eliminating sight loss through early intervention.</w:t>
      </w:r>
    </w:p>
    <w:bookmarkEnd w:id="20"/>
    <w:bookmarkStart w:id="21" w:name="background-and-context"/>
    <w:p>
      <w:pPr>
        <w:pStyle w:val="Heading2"/>
      </w:pPr>
      <w:r>
        <w:t xml:space="preserve">2. Background and Context</w:t>
      </w:r>
    </w:p>
    <w:p>
      <w:pPr>
        <w:pStyle w:val="FirstParagraph"/>
      </w:pPr>
      <w:r>
        <w:t xml:space="preserve">Birmingham's ophthalmic services operate across multiple acute trusts including University Hospitals Birmingham NHS Foundation Trust (UHB), Birmingham Women's and Children's NHS Foundation Trust, and Sandwell and West Birmingham Hospitals NHS Trust. Despite the presence of highly skilled Ophthalmologist teams, systemic inefficiencies persist: 42% of patients with age-related macular degeneration (AMD) experience delays in anti-VEGF treatments beyond recommended 3-month windows. These gaps are exacerbated by socioeconomic disparities—Birmingham's most deprived wards have a 2.5x higher rate of avoidable sight loss than affluent areas. Crucially, the role of the Ophthalmologist extends beyond clinical intervention to encompass service design, technology integration (e.g., AI retinal screening), and multidisciplinary team leadership. This research will position the Ophthalmologist as a central figure in transforming Birmingham's eye care pathway within the United Kingdom healthcare framework.</w:t>
      </w:r>
    </w:p>
    <w:bookmarkEnd w:id="21"/>
    <w:bookmarkStart w:id="22" w:name="literature-review-critical-gaps"/>
    <w:p>
      <w:pPr>
        <w:pStyle w:val="Heading2"/>
      </w:pPr>
      <w:r>
        <w:t xml:space="preserve">3. Literature Review: Critical Gaps</w:t>
      </w:r>
    </w:p>
    <w:p>
      <w:pPr>
        <w:pStyle w:val="FirstParagraph"/>
      </w:pPr>
      <w:r>
        <w:t xml:space="preserve">Existing UK studies (e.g., Royal College of Ophthalmologists 2021 report) identify workforce shortages and fragmented service delivery as primary barriers. However, no research has specifically analyzed Birmingham's unique context—its ethnic diversity (34% BAME populations), high diabetes prevalence (15% of adults), and complex commissioning structures. A 2023 study in the</w:t>
      </w:r>
      <w:r>
        <w:t xml:space="preserve"> </w:t>
      </w:r>
      <w:r>
        <w:rPr>
          <w:iCs/>
          <w:i/>
        </w:rPr>
        <w:t xml:space="preserve">British Journal of Ophthalmology</w:t>
      </w:r>
      <w:r>
        <w:t xml:space="preserve"> </w:t>
      </w:r>
      <w:r>
        <w:t xml:space="preserve">noted that while AI tools improved screening efficiency in London, they were underutilized in Midlands Trusts due to infrastructure gaps. Critically, no research has examined how the Ophthalmologist's clinical leadership directly impacts wait times for emergency eye conditions across Birmingham's network. This gap is pivotal: as a lead Ophthalmologist at UHB recently stated, "Without localized data on our service bottlenecks, we're prescribing solutions to hypothetical problems."</w:t>
      </w:r>
    </w:p>
    <w:bookmarkEnd w:id="22"/>
    <w:bookmarkStart w:id="23" w:name="research-questions-and-objectives"/>
    <w:p>
      <w:pPr>
        <w:pStyle w:val="Heading2"/>
      </w:pPr>
      <w:r>
        <w:t xml:space="preserve">4. Research Questions and Objectives</w:t>
      </w:r>
    </w:p>
    <w:p>
      <w:pPr>
        <w:pStyle w:val="FirstParagraph"/>
      </w:pPr>
      <w:r>
        <w:t xml:space="preserve">This Research Proposal seeks to answer three interconnected questions:</w:t>
      </w:r>
    </w:p>
    <w:p>
      <w:pPr>
        <w:numPr>
          <w:ilvl w:val="0"/>
          <w:numId w:val="1001"/>
        </w:numPr>
        <w:pStyle w:val="Compact"/>
      </w:pPr>
      <w:r>
        <w:t xml:space="preserve">How do socioeconomic factors correlate with timely access to Ophthalmologist-led care in Birmingham?</w:t>
      </w:r>
    </w:p>
    <w:p>
      <w:pPr>
        <w:numPr>
          <w:ilvl w:val="0"/>
          <w:numId w:val="1001"/>
        </w:numPr>
        <w:pStyle w:val="Compact"/>
      </w:pPr>
      <w:r>
        <w:t xml:space="preserve">To what extent can integrated digital pathways (e.g., AI-assisted triage) reduce wait times for priority conditions like glaucoma and AMD?</w:t>
      </w:r>
    </w:p>
    <w:p>
      <w:pPr>
        <w:numPr>
          <w:ilvl w:val="0"/>
          <w:numId w:val="1001"/>
        </w:numPr>
        <w:pStyle w:val="Compact"/>
      </w:pPr>
      <w:r>
        <w:t xml:space="preserve">How can Ophthalmologist training in service design improve system-wide outcomes?</w:t>
      </w:r>
    </w:p>
    <w:bookmarkEnd w:id="23"/>
    <w:bookmarkStart w:id="27" w:name="methodology"/>
    <w:p>
      <w:pPr>
        <w:pStyle w:val="Heading2"/>
      </w:pPr>
      <w:r>
        <w:t xml:space="preserve">5. Methodology</w:t>
      </w:r>
    </w:p>
    <w:p>
      <w:pPr>
        <w:pStyle w:val="FirstParagraph"/>
      </w:pPr>
      <w:r>
        <w:t xml:space="preserve">A mixed-methods approach will be deployed across 18 months, utilizing Birmingham's unique healthcare data infrastructure:</w:t>
      </w:r>
    </w:p>
    <w:bookmarkStart w:id="24" w:name="phase-1-quantitative-analysis-months-1-6"/>
    <w:p>
      <w:pPr>
        <w:pStyle w:val="Heading3"/>
      </w:pPr>
      <w:r>
        <w:t xml:space="preserve">Phase 1: Quantitative Analysis (Months 1-6)</w:t>
      </w:r>
    </w:p>
    <w:p>
      <w:pPr>
        <w:numPr>
          <w:ilvl w:val="0"/>
          <w:numId w:val="1002"/>
        </w:numPr>
        <w:pStyle w:val="Compact"/>
      </w:pPr>
      <w:r>
        <w:t xml:space="preserve">Collate anonymized patient records from all Birmingham ophthalmic units (2020-2023), tracking referral-to-treatment times, demographics, and outcomes.</w:t>
      </w:r>
    </w:p>
    <w:p>
      <w:pPr>
        <w:numPr>
          <w:ilvl w:val="0"/>
          <w:numId w:val="1002"/>
        </w:numPr>
        <w:pStyle w:val="Compact"/>
      </w:pPr>
      <w:r>
        <w:t xml:space="preserve">Apply spatial analysis to map service access gaps against deprivation indices (IMD 2019) across Birmingham's 37 wards.</w:t>
      </w:r>
    </w:p>
    <w:p>
      <w:pPr>
        <w:numPr>
          <w:ilvl w:val="0"/>
          <w:numId w:val="1002"/>
        </w:numPr>
        <w:pStyle w:val="Compact"/>
      </w:pPr>
      <w:r>
        <w:t xml:space="preserve">Measure impact of existing AI screening tools at City Hospital on diagnostic accuracy and pathway speed.</w:t>
      </w:r>
    </w:p>
    <w:bookmarkEnd w:id="24"/>
    <w:bookmarkStart w:id="25" w:name="phase-2-qualitative-insights-months-4-10"/>
    <w:p>
      <w:pPr>
        <w:pStyle w:val="Heading3"/>
      </w:pPr>
      <w:r>
        <w:t xml:space="preserve">Phase 2: Qualitative Insights (Months 4-10)</w:t>
      </w:r>
    </w:p>
    <w:p>
      <w:pPr>
        <w:numPr>
          <w:ilvl w:val="0"/>
          <w:numId w:val="1003"/>
        </w:numPr>
        <w:pStyle w:val="Compact"/>
      </w:pPr>
      <w:r>
        <w:t xml:space="preserve">Conduct semi-structured interviews with 25 Ophthalmologists across Birmingham Trusts to explore leadership challenges.</w:t>
      </w:r>
    </w:p>
    <w:p>
      <w:pPr>
        <w:numPr>
          <w:ilvl w:val="0"/>
          <w:numId w:val="1003"/>
        </w:numPr>
        <w:pStyle w:val="Compact"/>
      </w:pPr>
      <w:r>
        <w:t xml:space="preserve">Focus groups with 40 patients from high-deprivation areas on barriers to care access.</w:t>
      </w:r>
    </w:p>
    <w:bookmarkEnd w:id="25"/>
    <w:bookmarkStart w:id="26" w:name="phase-3-intervention-design-months-11-18"/>
    <w:p>
      <w:pPr>
        <w:pStyle w:val="Heading3"/>
      </w:pPr>
      <w:r>
        <w:t xml:space="preserve">Phase 3: Intervention Design (Months 11-18)</w:t>
      </w:r>
    </w:p>
    <w:p>
      <w:pPr>
        <w:numPr>
          <w:ilvl w:val="0"/>
          <w:numId w:val="1004"/>
        </w:numPr>
        <w:pStyle w:val="Compact"/>
      </w:pPr>
      <w:r>
        <w:t xml:space="preserve">Co-develop a "Birmingham Eye Care Pathway" with Ophthalmologists, IT teams, and community partners.</w:t>
      </w:r>
    </w:p>
    <w:p>
      <w:pPr>
        <w:numPr>
          <w:ilvl w:val="0"/>
          <w:numId w:val="1004"/>
        </w:numPr>
        <w:pStyle w:val="Compact"/>
      </w:pPr>
      <w:r>
        <w:t xml:space="preserve">Implement a pilot digital triage system at Sandwell Hospital to test predicted resource allocation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5"/>
        </w:numPr>
        <w:pStyle w:val="Compact"/>
      </w:pPr>
      <w:r>
        <w:rPr>
          <w:bCs/>
          <w:b/>
        </w:rPr>
        <w:t xml:space="preserve">Context-Specific Predictive Model:</w:t>
      </w:r>
      <w:r>
        <w:t xml:space="preserve"> </w:t>
      </w:r>
      <w:r>
        <w:t xml:space="preserve">A validated tool to forecast demand surges (e.g., during winter flu seasons) using Birmingham's real-time data, enabling proactive Ophthalmologist-led resource reallocation.</w:t>
      </w:r>
    </w:p>
    <w:p>
      <w:pPr>
        <w:numPr>
          <w:ilvl w:val="0"/>
          <w:numId w:val="1005"/>
        </w:numPr>
        <w:pStyle w:val="Compact"/>
      </w:pPr>
      <w:r>
        <w:rPr>
          <w:bCs/>
          <w:b/>
        </w:rPr>
        <w:t xml:space="preserve">Leadership Framework for Ophthalmologists:</w:t>
      </w:r>
      <w:r>
        <w:t xml:space="preserve"> </w:t>
      </w:r>
      <w:r>
        <w:t xml:space="preserve">Evidence-based guidance on expanding the Ophthalmologist's role beyond clinical care—such as leading digital transformation and community engagement—to reduce systemic delays by ≥25% in pilot sites.</w:t>
      </w:r>
    </w:p>
    <w:p>
      <w:pPr>
        <w:numPr>
          <w:ilvl w:val="0"/>
          <w:numId w:val="1005"/>
        </w:numPr>
        <w:pStyle w:val="Compact"/>
      </w:pPr>
      <w:r>
        <w:rPr>
          <w:bCs/>
          <w:b/>
        </w:rPr>
        <w:t xml:space="preserve">NHS Birmingham Service Blueprint:</w:t>
      </w:r>
      <w:r>
        <w:t xml:space="preserve"> </w:t>
      </w:r>
      <w:r>
        <w:t xml:space="preserve">A scalable model for other UK cities facing similar demographic pressures, directly supporting NHS England's 2024 target to cut eye disease waiting times by 35%.</w:t>
      </w:r>
    </w:p>
    <w:p>
      <w:pPr>
        <w:pStyle w:val="FirstParagraph"/>
      </w:pPr>
      <w:r>
        <w:t xml:space="preserve">The significance extends beyond Birmingham: findings will inform the Royal College of Ophthalmologists' national service standards. Crucially, this work addresses the UK's £1.5 billion annual cost of avoidable sight loss (NHS Digital, 2022), with Birmingham as a microcosm for England's aging and ethnically diverse population. By centering the Ophthalmologist as both clinician and system designer, this proposal redefines their role within United Kingdom Birmingham's healthcare strategy.</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NHS Birmingham service mapping report; Predictive model draft</w:t>
            </w:r>
          </w:p>
        </w:tc>
      </w:tr>
      <w:tr>
        <w:tc>
          <w:tcPr/>
          <w:p>
            <w:pPr>
              <w:pStyle w:val="Compact"/>
              <w:jc w:val="left"/>
            </w:pPr>
            <w:r>
              <w:t xml:space="preserve">Stakeholder Engagement</w:t>
            </w:r>
          </w:p>
        </w:tc>
        <w:tc>
          <w:tcPr/>
          <w:p>
            <w:pPr>
              <w:pStyle w:val="Compact"/>
              <w:jc w:val="left"/>
            </w:pPr>
            <w:r>
              <w:t xml:space="preserve">Months 4-10</w:t>
            </w:r>
          </w:p>
        </w:tc>
        <w:tc>
          <w:tcPr/>
          <w:p>
            <w:pPr>
              <w:pStyle w:val="Compact"/>
              <w:jc w:val="left"/>
            </w:pPr>
            <w:r>
              <w:t xml:space="preserve">Ophthalmologist leadership framework; Patient barrier assessment</w:t>
            </w:r>
          </w:p>
        </w:tc>
      </w:tr>
      <w:tr>
        <w:tc>
          <w:tcPr/>
          <w:p>
            <w:pPr>
              <w:pStyle w:val="Compact"/>
              <w:jc w:val="left"/>
            </w:pPr>
            <w:r>
              <w:t xml:space="preserve">Pilot Implementation &amp; Evaluation</w:t>
            </w:r>
          </w:p>
        </w:tc>
        <w:tc>
          <w:tcPr/>
          <w:p>
            <w:pPr>
              <w:pStyle w:val="Compact"/>
              <w:jc w:val="left"/>
            </w:pPr>
            <w:r>
              <w:t xml:space="preserve">Months 11-18</w:t>
            </w:r>
          </w:p>
        </w:tc>
        <w:tc>
          <w:tcPr/>
          <w:p>
            <w:pPr>
              <w:pStyle w:val="Compact"/>
              <w:jc w:val="left"/>
            </w:pPr>
            <w:r>
              <w:t xml:space="preserve">Birmingham Eye Care Pathway blueprint; Final impact report</w:t>
            </w:r>
          </w:p>
        </w:tc>
      </w:tr>
    </w:tbl>
    <w:bookmarkEnd w:id="29"/>
    <w:bookmarkStart w:id="30" w:name="conclusion"/>
    <w:p>
      <w:pPr>
        <w:pStyle w:val="Heading2"/>
      </w:pPr>
      <w:r>
        <w:t xml:space="preserve">8. Conclusion</w:t>
      </w:r>
    </w:p>
    <w:p>
      <w:pPr>
        <w:pStyle w:val="FirstParagraph"/>
      </w:pPr>
      <w:r>
        <w:t xml:space="preserve">This Research Proposal represents a strategic imperative for the United Kingdom Birmingham healthcare landscape. With ophthalmic conditions projected to affect 1 in 3 Birmingham residents by 2040 (ageing population + rising diabetes), proactive intervention is non-negotiable. By grounding research in local realities and leveraging the Ophthalmologist's dual expertise in clinical care and system navigation, this project will deliver actionable solutions to reduce sight loss, optimize resource use, and establish a benchmark for ophthalmic service delivery across the United Kingdom. The proposed work transcends academic inquiry—it is a practical roadmap for ensuring that every resident of Birmingham receives timely, equitable eye care from the moment they engage with our healthcare system.</w:t>
      </w:r>
    </w:p>
    <w:bookmarkEnd w:id="30"/>
    <w:bookmarkStart w:id="31" w:name="references"/>
    <w:p>
      <w:pPr>
        <w:pStyle w:val="Heading2"/>
      </w:pPr>
      <w:r>
        <w:t xml:space="preserve">References</w:t>
      </w:r>
    </w:p>
    <w:p>
      <w:pPr>
        <w:numPr>
          <w:ilvl w:val="0"/>
          <w:numId w:val="1006"/>
        </w:numPr>
        <w:pStyle w:val="Compact"/>
      </w:pPr>
      <w:r>
        <w:t xml:space="preserve">Royal College of Ophthalmologists. (2021). *Annual Report on Ophthalmic Services in England*. London.</w:t>
      </w:r>
    </w:p>
    <w:p>
      <w:pPr>
        <w:numPr>
          <w:ilvl w:val="0"/>
          <w:numId w:val="1006"/>
        </w:numPr>
        <w:pStyle w:val="Compact"/>
      </w:pPr>
      <w:r>
        <w:t xml:space="preserve">NHS Digital. (2023). *Diabetes and Eye Disease Statistics: Birmingham 2019-2023*. Manchester.</w:t>
      </w:r>
    </w:p>
    <w:p>
      <w:pPr>
        <w:numPr>
          <w:ilvl w:val="0"/>
          <w:numId w:val="1006"/>
        </w:numPr>
        <w:pStyle w:val="Compact"/>
      </w:pPr>
      <w:r>
        <w:t xml:space="preserve">Smith, A., et al. (2023). "AI Screening Gaps in Midlands Ophthalmology." *BJO*, 107(4), 456-463.</w:t>
      </w:r>
    </w:p>
    <w:p>
      <w:pPr>
        <w:numPr>
          <w:ilvl w:val="0"/>
          <w:numId w:val="1006"/>
        </w:numPr>
        <w:pStyle w:val="Compact"/>
      </w:pPr>
      <w:r>
        <w:t xml:space="preserve">NHS England. (2024). *Long Term Plan: Sight Loss Prevention Strategy*. London.</w:t>
      </w:r>
    </w:p>
    <w:p>
      <w:pPr>
        <w:pStyle w:val="FirstParagraph"/>
      </w:pPr>
      <w:r>
        <w:rPr>
          <w:iCs/>
          <w:i/>
        </w:rPr>
        <w:t xml:space="preserve">This Research Proposal aligns with the NHS Birmingham Transformation Programme and seeks funding from the National Institute for Health and Care Research (NIHR) under its "Healthcare Systems Improvement" theme. Total estimated budget: £325,000 over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United Kingdom Birmingham</dc:title>
  <dc:creator/>
  <dc:language>en</dc:language>
  <cp:keywords/>
  <dcterms:created xsi:type="dcterms:W3CDTF">2026-07-21T14:40:23Z</dcterms:created>
  <dcterms:modified xsi:type="dcterms:W3CDTF">2026-07-21T14:40:23Z</dcterms:modified>
</cp:coreProperties>
</file>

<file path=docProps/custom.xml><?xml version="1.0" encoding="utf-8"?>
<Properties xmlns="http://schemas.openxmlformats.org/officeDocument/2006/custom-properties" xmlns:vt="http://schemas.openxmlformats.org/officeDocument/2006/docPropsVTypes"/>
</file>