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Patient</w:t>
      </w:r>
      <w:r>
        <w:t xml:space="preserve"> </w:t>
      </w:r>
      <w:r>
        <w:t xml:space="preserve">Access</w:t>
      </w:r>
      <w:r>
        <w:t xml:space="preserve"> </w:t>
      </w:r>
      <w:r>
        <w:t xml:space="preserve">in</w:t>
      </w:r>
      <w:r>
        <w:t xml:space="preserve"> </w:t>
      </w:r>
      <w:r>
        <w:t xml:space="preserve">Greater</w:t>
      </w:r>
      <w:r>
        <w:t xml:space="preserve"> </w:t>
      </w:r>
      <w:r>
        <w:t xml:space="preserve">Manchester,</w:t>
      </w:r>
      <w:r>
        <w:t xml:space="preserve"> </w:t>
      </w:r>
      <w:r>
        <w:t xml:space="preserve">United</w:t>
      </w:r>
      <w:r>
        <w:t xml:space="preserve"> </w:t>
      </w:r>
      <w:r>
        <w:t xml:space="preserve">Kingdom</w:t>
      </w:r>
    </w:p>
    <w:bookmarkStart w:id="31" w:name="X88dbde3cdb0d6f8c0a59b2e87e2372f3d6dd8e8"/>
    <w:p>
      <w:pPr>
        <w:pStyle w:val="Heading1"/>
      </w:pPr>
      <w:r>
        <w:t xml:space="preserve">Research Proposal: Optimizing Ophthalmologist Workforce Distribution and Patient Access in Greater Manchester, United Kingdom</w:t>
      </w:r>
    </w:p>
    <w:bookmarkStart w:id="20" w:name="introduction-and-background"/>
    <w:p>
      <w:pPr>
        <w:pStyle w:val="Heading2"/>
      </w:pPr>
      <w:r>
        <w:t xml:space="preserve">1. Introduction and Background</w:t>
      </w:r>
    </w:p>
    <w:p>
      <w:pPr>
        <w:pStyle w:val="FirstParagraph"/>
      </w:pPr>
      <w:r>
        <w:t xml:space="preserve">The provision of high-quality ophthalmic care remains a critical challenge within the National Health Service (NHS) across the United Kingdom. In Greater Manchester, a region characterised by significant demographic diversity, urban density, and health inequalities, the demand for specialist eye care is rapidly outpacing current capacity. As an established medical hub with over 5 million residents and complex socioeconomic gradients—from affluent suburbs to areas of high deprivation—Manchester faces unique pressures on its ophthalmology services. Recent data from NHS England indicates that waiting times for routine ophthalmologist consultations in Greater Manchester exceed national averages by 15-20%, with certain high-prevalence conditions like diabetic retinopathy and age-related macular degeneration (AMD) presenting acute strain on the existing workforce. This research proposal addresses the urgent need to analyse, model, and propose evidence-based solutions for enhancing the efficiency and equity of ophthalmologist deployment across Manchester's healthcare ecosystem.</w:t>
      </w:r>
    </w:p>
    <w:bookmarkEnd w:id="20"/>
    <w:bookmarkStart w:id="21" w:name="problem-statement"/>
    <w:p>
      <w:pPr>
        <w:pStyle w:val="Heading2"/>
      </w:pPr>
      <w:r>
        <w:t xml:space="preserve">2. Problem Statement</w:t>
      </w:r>
    </w:p>
    <w:p>
      <w:pPr>
        <w:pStyle w:val="FirstParagraph"/>
      </w:pPr>
      <w:r>
        <w:t xml:space="preserve">The current distribution of ophthalmologists in Greater Manchester does not fully align with population needs or disease burden patterns. Key issues include: (1) significant regional disparities in access, particularly in deprived boroughs such as Salford, Manchester City Centre, and Bolton; (2) inefficiencies in referral pathways leading to unnecessary outpatient visits; (3) underutilisation of existing ophthalmologist capacity due to fragmented service models; and (4) a growing backlog exacerbated by an ageing population. These challenges directly impact patient outcomes—delayed diagnosis of sight-threatening conditions can lead to irreversible vision loss, disproportionately affecting vulnerable groups. This research will specifically investigate how strategic reallocation of ophthalmologist resources, integrated with digital health tools and community-based care models, could reduce waiting times by 25% within five years while improving equity across Manchester.</w:t>
      </w:r>
    </w:p>
    <w:bookmarkEnd w:id="21"/>
    <w:bookmarkStart w:id="22" w:name="research-aims-and-objectives"/>
    <w:p>
      <w:pPr>
        <w:pStyle w:val="Heading2"/>
      </w:pPr>
      <w:r>
        <w:t xml:space="preserve">3. Research Aims and Objectives</w:t>
      </w:r>
    </w:p>
    <w:p>
      <w:pPr>
        <w:pStyle w:val="FirstParagraph"/>
      </w:pPr>
      <w:r>
        <w:rPr>
          <w:bCs/>
          <w:b/>
        </w:rPr>
        <w:t xml:space="preserve">Aim:</w:t>
      </w:r>
      <w:r>
        <w:t xml:space="preserve"> </w:t>
      </w:r>
      <w:r>
        <w:t xml:space="preserve">To develop a sustainable framework for optimising ophthalmologist workforce deployment to improve access, efficiency, and equity of eye care services across Greater Manchester.</w:t>
      </w:r>
    </w:p>
    <w:p>
      <w:pPr>
        <w:pStyle w:val="BodyText"/>
      </w:pPr>
      <w:r>
        <w:rPr>
          <w:bCs/>
          <w:b/>
        </w:rPr>
        <w:t xml:space="preserve">Objectives:</w:t>
      </w:r>
    </w:p>
    <w:p>
      <w:pPr>
        <w:numPr>
          <w:ilvl w:val="0"/>
          <w:numId w:val="1001"/>
        </w:numPr>
        <w:pStyle w:val="Compact"/>
      </w:pPr>
      <w:r>
        <w:t xml:space="preserve">To map current ophthalmologist distribution against population-level disease prevalence (diabetic retinopathy, cataract, glaucoma) across all 10 Greater Manchester boroughs using GIS spatial analysis.</w:t>
      </w:r>
    </w:p>
    <w:p>
      <w:pPr>
        <w:numPr>
          <w:ilvl w:val="0"/>
          <w:numId w:val="1001"/>
        </w:numPr>
        <w:pStyle w:val="Compact"/>
      </w:pPr>
      <w:r>
        <w:t xml:space="preserve">To evaluate patient pathways through Manchester's eye care network (including community opticians, GP-led clinics, and hospital services) to identify bottlenecks affecting ophthalmologist access.</w:t>
      </w:r>
    </w:p>
    <w:p>
      <w:pPr>
        <w:numPr>
          <w:ilvl w:val="0"/>
          <w:numId w:val="1001"/>
        </w:numPr>
        <w:pStyle w:val="Compact"/>
      </w:pPr>
      <w:r>
        <w:t xml:space="preserve">To assess the feasibility and impact of introducing targeted teleophthalmology services for high-risk groups in underserved areas, reducing unnecessary referrals to the specialist ophthalmologist.</w:t>
      </w:r>
    </w:p>
    <w:p>
      <w:pPr>
        <w:numPr>
          <w:ilvl w:val="0"/>
          <w:numId w:val="1001"/>
        </w:numPr>
        <w:pStyle w:val="Compact"/>
      </w:pPr>
      <w:r>
        <w:t xml:space="preserve">To model workforce requirements using predictive analytics based on demographic trends (e.g., ageing population, rising diabetes rates) specific to Manchester.</w:t>
      </w:r>
    </w:p>
    <w:p>
      <w:pPr>
        <w:numPr>
          <w:ilvl w:val="0"/>
          <w:numId w:val="1001"/>
        </w:numPr>
        <w:pStyle w:val="Compact"/>
      </w:pPr>
      <w:r>
        <w:t xml:space="preserve">To co-design a scalable implementation plan with NHS Greater Manchester Integrated Care System (ICS) and stakeholders for optimised ophthalmologist service delivery.</w:t>
      </w:r>
    </w:p>
    <w:bookmarkEnd w:id="22"/>
    <w:bookmarkStart w:id="26" w:name="methodology"/>
    <w:p>
      <w:pPr>
        <w:pStyle w:val="Heading2"/>
      </w:pPr>
      <w:r>
        <w:t xml:space="preserve">4. Methodology</w:t>
      </w:r>
    </w:p>
    <w:p>
      <w:pPr>
        <w:pStyle w:val="FirstParagraph"/>
      </w:pPr>
      <w:r>
        <w:t xml:space="preserve">This mixed-methods study will employ a 3-phase approach:</w:t>
      </w:r>
    </w:p>
    <w:bookmarkStart w:id="23" w:name="X456de5195eeb8057253a692d78011858dc190f0"/>
    <w:p>
      <w:pPr>
        <w:pStyle w:val="Heading3"/>
      </w:pPr>
      <w:r>
        <w:t xml:space="preserve">Phase 1: Data Collection and Analysis (Months 1-6)</w:t>
      </w:r>
    </w:p>
    <w:p>
      <w:pPr>
        <w:numPr>
          <w:ilvl w:val="0"/>
          <w:numId w:val="1002"/>
        </w:numPr>
        <w:pStyle w:val="Compact"/>
      </w:pPr>
      <w:r>
        <w:rPr>
          <w:iCs/>
          <w:i/>
        </w:rPr>
        <w:t xml:space="preserve">Quantitative:</w:t>
      </w:r>
      <w:r>
        <w:t xml:space="preserve"> </w:t>
      </w:r>
      <w:r>
        <w:t xml:space="preserve">Collate anonymised NHS Digital datasets (2020-2024) on ophthalmologist appointments, referral volumes, waiting times, and patient demographics across Manchester. Integrate with Public Health England’s disease prevalence maps for Greater Manchester.</w:t>
      </w:r>
    </w:p>
    <w:p>
      <w:pPr>
        <w:numPr>
          <w:ilvl w:val="0"/>
          <w:numId w:val="1002"/>
        </w:numPr>
        <w:pStyle w:val="Compact"/>
      </w:pPr>
      <w:r>
        <w:rPr>
          <w:iCs/>
          <w:i/>
        </w:rPr>
        <w:t xml:space="preserve">Geospatial Analysis:</w:t>
      </w:r>
      <w:r>
        <w:t xml:space="preserve"> </w:t>
      </w:r>
      <w:r>
        <w:t xml:space="preserve">Use ArcGIS to overlay ophthalmologist locations with deprivation indices (IMD 2019) and disease hotspots to identify service gaps.</w:t>
      </w:r>
    </w:p>
    <w:bookmarkEnd w:id="23"/>
    <w:bookmarkStart w:id="24" w:name="Xa19c304401f320fcb802ecbe48febb89fee8c40"/>
    <w:p>
      <w:pPr>
        <w:pStyle w:val="Heading3"/>
      </w:pPr>
      <w:r>
        <w:t xml:space="preserve">Phase 2: Stakeholder Engagement and Process Mapping (Months 7-10)</w:t>
      </w:r>
    </w:p>
    <w:p>
      <w:pPr>
        <w:numPr>
          <w:ilvl w:val="0"/>
          <w:numId w:val="1003"/>
        </w:numPr>
        <w:pStyle w:val="Compact"/>
      </w:pPr>
      <w:r>
        <w:rPr>
          <w:iCs/>
          <w:i/>
        </w:rPr>
        <w:t xml:space="preserve">Qualitative Interviews:</w:t>
      </w:r>
      <w:r>
        <w:t xml:space="preserve"> </w:t>
      </w:r>
      <w:r>
        <w:t xml:space="preserve">Conduct semi-structured interviews with 25 key stakeholders: ophthalmologists, optometrists, NHS commissioners (e.g., Manchester ICS), community health leaders, and patient representatives from diverse boroughs.</w:t>
      </w:r>
    </w:p>
    <w:p>
      <w:pPr>
        <w:numPr>
          <w:ilvl w:val="0"/>
          <w:numId w:val="1003"/>
        </w:numPr>
        <w:pStyle w:val="Compact"/>
      </w:pPr>
      <w:r>
        <w:rPr>
          <w:iCs/>
          <w:i/>
        </w:rPr>
        <w:t xml:space="preserve">Pathway Mapping:</w:t>
      </w:r>
      <w:r>
        <w:t xml:space="preserve"> </w:t>
      </w:r>
      <w:r>
        <w:t xml:space="preserve">Document current referral routes from primary care to specialist ophthalmologist services via process mapping workshops.</w:t>
      </w:r>
    </w:p>
    <w:bookmarkEnd w:id="24"/>
    <w:bookmarkStart w:id="25" w:name="Xb194bccdc35129936d5419d4bfa3c9793b710cf"/>
    <w:p>
      <w:pPr>
        <w:pStyle w:val="Heading3"/>
      </w:pPr>
      <w:r>
        <w:t xml:space="preserve">Phase 3: Intervention Modelling and Implementation Framework (Months 11-24)</w:t>
      </w:r>
    </w:p>
    <w:p>
      <w:pPr>
        <w:numPr>
          <w:ilvl w:val="0"/>
          <w:numId w:val="1004"/>
        </w:numPr>
        <w:pStyle w:val="Compact"/>
      </w:pPr>
      <w:r>
        <w:rPr>
          <w:iCs/>
          <w:i/>
        </w:rPr>
        <w:t xml:space="preserve">Simulation Modelling:</w:t>
      </w:r>
      <w:r>
        <w:t xml:space="preserve"> </w:t>
      </w:r>
      <w:r>
        <w:t xml:space="preserve">Develop agent-based models to test scenarios (e.g., mobile ophthalmologist clinics in deprived areas, AI-assisted triage for diabetic retinopathy) using Manchester-specific data.</w:t>
      </w:r>
    </w:p>
    <w:p>
      <w:pPr>
        <w:numPr>
          <w:ilvl w:val="0"/>
          <w:numId w:val="1004"/>
        </w:numPr>
        <w:pStyle w:val="Compact"/>
      </w:pPr>
      <w:r>
        <w:rPr>
          <w:iCs/>
          <w:i/>
        </w:rPr>
        <w:t xml:space="preserve">Co-Design Workshops:</w:t>
      </w:r>
      <w:r>
        <w:t xml:space="preserve"> </w:t>
      </w:r>
      <w:r>
        <w:t xml:space="preserve">Collaborate with NHS Greater Manchester and local partners to finalise a practical implementation roadmap, prioritising cost-effectiveness and scalability.</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the UK government’s NHS Long Term Plan (2019), which prioritises reducing waiting times and tackling health inequalities—particularly in devolved regions like Greater Manchester. The expected outcomes include:</w:t>
      </w:r>
    </w:p>
    <w:p>
      <w:pPr>
        <w:numPr>
          <w:ilvl w:val="0"/>
          <w:numId w:val="1005"/>
        </w:numPr>
        <w:pStyle w:val="Compact"/>
      </w:pPr>
      <w:r>
        <w:t xml:space="preserve">A publicly accessible, dynamic dashboard showing real-time ophthalmologist capacity vs. demand across Manchester boroughs.</w:t>
      </w:r>
    </w:p>
    <w:p>
      <w:pPr>
        <w:numPr>
          <w:ilvl w:val="0"/>
          <w:numId w:val="1005"/>
        </w:numPr>
        <w:pStyle w:val="Compact"/>
      </w:pPr>
      <w:r>
        <w:t xml:space="preserve">Validation of teleophthalmology as a viable solution for 40% of routine referrals (e.g., diabetic retinopathy screening), freeing up specialist ophthalmologist time for complex cases.</w:t>
      </w:r>
    </w:p>
    <w:p>
      <w:pPr>
        <w:numPr>
          <w:ilvl w:val="0"/>
          <w:numId w:val="1005"/>
        </w:numPr>
        <w:pStyle w:val="Compact"/>
      </w:pPr>
      <w:r>
        <w:t xml:space="preserve">A data-driven workforce model predicting future ophthalmologist needs in Manchester until 2035, informing regional training pipelines.</w:t>
      </w:r>
    </w:p>
    <w:p>
      <w:pPr>
        <w:numPr>
          <w:ilvl w:val="0"/>
          <w:numId w:val="1005"/>
        </w:numPr>
        <w:pStyle w:val="Compact"/>
      </w:pPr>
      <w:r>
        <w:t xml:space="preserve">A co-created implementation toolkit for NHS Greater Manchester to deploy the optimised model across its 18 acute care sites and community networks.</w:t>
      </w:r>
    </w:p>
    <w:p>
      <w:pPr>
        <w:pStyle w:val="FirstParagraph"/>
      </w:pPr>
      <w:r>
        <w:t xml:space="preserve">Crucially, this project will position Manchester as a national exemplar in innovative eye care delivery, potentially influencing UK-wide ophthalmologist workforce planning. By demonstrating how targeted resource allocation reduces equity gaps—such as the 30% longer waits for diabetic retinopathy assessments in Manchester’s most deprived areas—it aligns with Equality Act 2010 principles and NHS England’s commitment to 'no one left behind'.</w:t>
      </w:r>
    </w:p>
    <w:bookmarkEnd w:id="27"/>
    <w:bookmarkStart w:id="28" w:name="ethical-considerations-and-partnerships"/>
    <w:p>
      <w:pPr>
        <w:pStyle w:val="Heading2"/>
      </w:pPr>
      <w:r>
        <w:t xml:space="preserve">6. Ethical Considerations and Partnerships</w:t>
      </w:r>
    </w:p>
    <w:p>
      <w:pPr>
        <w:pStyle w:val="FirstParagraph"/>
      </w:pPr>
      <w:r>
        <w:t xml:space="preserve">All data will be anonymised per GDPR and NHS Data Security Standards. The research team will partner with Manchester University NHS Foundation Trust (MFT), Greater Manchester Health and Social Care Partnership, and the Royal College of Ophthalmologists (UK) to ensure clinical validity and policy relevance. Patient involvement groups from diverse Manchester communities will guide ethical design, ensuring the research addresses lived experiences of accessing eye care.</w:t>
      </w:r>
    </w:p>
    <w:bookmarkEnd w:id="28"/>
    <w:bookmarkStart w:id="29"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7-10</w:t>
      </w:r>
    </w:p>
    <w:p>
      <w:pPr>
        <w:pStyle w:val="BodyText"/>
      </w:pPr>
      <w:r>
        <w:t xml:space="preserve">Months 11-24</w:t>
      </w:r>
    </w:p>
    <w:p>
      <w:pPr>
        <w:pStyle w:val="BodyText"/>
      </w:pPr>
      <w:r>
        <w:t xml:space="preserve">Data Collection &amp; Analysis</w:t>
      </w:r>
    </w:p>
    <w:p>
      <w:pPr>
        <w:pStyle w:val="BodyText"/>
      </w:pPr>
      <w:r>
        <w:t xml:space="preserve">✓</w:t>
      </w:r>
    </w:p>
    <w:p>
      <w:pPr>
        <w:pStyle w:val="BodyText"/>
      </w:pPr>
      <w:r>
        <w:t xml:space="preserve">Stakeholder Engagement</w:t>
      </w:r>
    </w:p>
    <w:p>
      <w:pPr>
        <w:pStyle w:val="BodyText"/>
      </w:pPr>
      <w:r>
        <w:t xml:space="preserve">✓</w:t>
      </w:r>
    </w:p>
    <w:p>
      <w:pPr>
        <w:pStyle w:val="BodyText"/>
      </w:pPr>
      <w:r>
        <w:t xml:space="preserve">Implementation Model &amp; Toolkit Development</w:t>
      </w:r>
    </w:p>
    <w:p>
      <w:pPr>
        <w:pStyle w:val="BodyText"/>
      </w:pPr>
      <w:r>
        <w:t xml:space="preserve">✓</w:t>
      </w:r>
    </w:p>
    <w:bookmarkEnd w:id="29"/>
    <w:bookmarkStart w:id="30" w:name="conclusion"/>
    <w:p>
      <w:pPr>
        <w:pStyle w:val="Heading2"/>
      </w:pPr>
      <w:r>
        <w:t xml:space="preserve">8. Conclusion</w:t>
      </w:r>
    </w:p>
    <w:p>
      <w:pPr>
        <w:pStyle w:val="FirstParagraph"/>
      </w:pPr>
      <w:r>
        <w:t xml:space="preserve">The proposed research represents a timely, evidence-led intervention to address systemic pressures on ophthalmologist services in Manchester. By grounding the study in local data, community needs, and NHS operational realities within the United Kingdom context, this project will generate actionable insights for improving eye care equity across one of Europe’s most diverse urban regions. The findings will empower NHS Greater Manchester to implement sustainable changes that directly benefit patients awaiting specialist ophthalmologist consultations—a priority echoing national healthcare goals. Ultimately, this research is not merely about numbers of ophthalmologists but about ensuring every resident in Manchester has equitable access to sight-saving care, demonstrating how local innovation can drive national best practice in ophthalmology service delivery.</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Ophthalmologist Workforce Distribution and Patient Access in Greater Manchester, United Kingdom</dc:title>
  <dc:creator/>
  <dc:language>en</dc:language>
  <cp:keywords/>
  <dcterms:created xsi:type="dcterms:W3CDTF">2026-07-23T20:13:26Z</dcterms:created>
  <dcterms:modified xsi:type="dcterms:W3CDTF">2026-07-23T20:13:26Z</dcterms:modified>
</cp:coreProperties>
</file>

<file path=docProps/custom.xml><?xml version="1.0" encoding="utf-8"?>
<Properties xmlns="http://schemas.openxmlformats.org/officeDocument/2006/custom-properties" xmlns:vt="http://schemas.openxmlformats.org/officeDocument/2006/docPropsVTypes"/>
</file>