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8a1668521b5bd09324c6b02c8cfb2d2f1716f05"/>
    <w:p>
      <w:pPr>
        <w:pStyle w:val="Heading1"/>
      </w:pPr>
      <w:r>
        <w:t xml:space="preserve">Research Proposal: Advancing Ophthalmologist Services in Tashkent, Uzbekistan</w:t>
      </w:r>
    </w:p>
    <w:bookmarkStart w:id="20" w:name="introduction"/>
    <w:p>
      <w:pPr>
        <w:pStyle w:val="Heading2"/>
      </w:pPr>
      <w:r>
        <w:t xml:space="preserve">1. Introduction</w:t>
      </w:r>
    </w:p>
    <w:p>
      <w:pPr>
        <w:pStyle w:val="FirstParagraph"/>
      </w:pPr>
      <w:r>
        <w:t xml:space="preserve">In the rapidly developing healthcare landscape of</w:t>
      </w:r>
      <w:r>
        <w:t xml:space="preserve"> </w:t>
      </w:r>
      <w:r>
        <w:rPr>
          <w:bCs/>
          <w:b/>
        </w:rPr>
        <w:t xml:space="preserve">Uzbekistan Tashkent</w:t>
      </w:r>
      <w:r>
        <w:t xml:space="preserve">, ophthalmology remains a critical yet underserved specialty. With an aging population and rising prevalence of diabetic retinopathy, glaucoma, and age-related macular degeneration, the demand for specialized eye care has surged beyond current capacity. This</w:t>
      </w:r>
      <w:r>
        <w:t xml:space="preserve"> </w:t>
      </w:r>
      <w:r>
        <w:rPr>
          <w:bCs/>
          <w:b/>
        </w:rPr>
        <w:t xml:space="preserve">Research Proposal</w:t>
      </w:r>
      <w:r>
        <w:t xml:space="preserve"> </w:t>
      </w:r>
      <w:r>
        <w:t xml:space="preserve">addresses a pressing need to evaluate the role of the</w:t>
      </w:r>
      <w:r>
        <w:t xml:space="preserve"> </w:t>
      </w:r>
      <w:r>
        <w:rPr>
          <w:bCs/>
          <w:b/>
        </w:rPr>
        <w:t xml:space="preserve">Ophthalmologist</w:t>
      </w:r>
      <w:r>
        <w:t xml:space="preserve"> </w:t>
      </w:r>
      <w:r>
        <w:t xml:space="preserve">in Uzbekistan's national healthcare system, with Tashkent as the focal point. As Uzbekistan's political and medical hub, Tashkent houses 60% of the nation's ophthalmic resources but faces severe shortages in qualified specialists, particularly outside urban centers. The</w:t>
      </w:r>
      <w:r>
        <w:t xml:space="preserve"> </w:t>
      </w:r>
      <w:r>
        <w:rPr>
          <w:bCs/>
          <w:b/>
        </w:rPr>
        <w:t xml:space="preserve">Research Proposal</w:t>
      </w:r>
      <w:r>
        <w:t xml:space="preserve"> </w:t>
      </w:r>
      <w:r>
        <w:t xml:space="preserve">aims to generate actionable data to strengthen eye care infrastructure and workforce development in</w:t>
      </w:r>
      <w:r>
        <w:t xml:space="preserve"> </w:t>
      </w:r>
      <w:r>
        <w:rPr>
          <w:bCs/>
          <w:b/>
        </w:rPr>
        <w:t xml:space="preserve">Uzbekistan Tashkent</w:t>
      </w:r>
      <w:r>
        <w:t xml:space="preserve">.</w:t>
      </w:r>
    </w:p>
    <w:bookmarkEnd w:id="20"/>
    <w:bookmarkStart w:id="21" w:name="problem-statement-and-rationale"/>
    <w:p>
      <w:pPr>
        <w:pStyle w:val="Heading2"/>
      </w:pPr>
      <w:r>
        <w:t xml:space="preserve">2. Problem Statement and Rationale</w:t>
      </w:r>
    </w:p>
    <w:p>
      <w:pPr>
        <w:pStyle w:val="FirstParagraph"/>
      </w:pPr>
      <w:r>
        <w:t xml:space="preserve">The ophthalmology sector in Uzbekistan confronts multiple systemic challenges. According to the World Health Organization (WHO), 5% of Uzbek citizens suffer from avoidable vision impairment, yet only 40 ophthalmologists serve Tashkent's population of 3 million—far below the recommended ratio of 1 per 25,000 people. This deficit is exacerbated by uneven distribution: while Tashkent’s major hospitals (e.g., National Eye Center) have modern equipment, rural regions lack even basic diagnostic tools. Crucially, the role of the</w:t>
      </w:r>
      <w:r>
        <w:t xml:space="preserve"> </w:t>
      </w:r>
      <w:r>
        <w:rPr>
          <w:bCs/>
          <w:b/>
        </w:rPr>
        <w:t xml:space="preserve">Ophthalmologist</w:t>
      </w:r>
      <w:r>
        <w:t xml:space="preserve"> </w:t>
      </w:r>
      <w:r>
        <w:t xml:space="preserve">in primary care networks remains undefined. Without targeted intervention, preventable blindness could rise by 35% by 2030. This</w:t>
      </w:r>
      <w:r>
        <w:t xml:space="preserve"> </w:t>
      </w:r>
      <w:r>
        <w:rPr>
          <w:bCs/>
          <w:b/>
        </w:rPr>
        <w:t xml:space="preserve">Research Proposal</w:t>
      </w:r>
      <w:r>
        <w:t xml:space="preserve"> </w:t>
      </w:r>
      <w:r>
        <w:t xml:space="preserve">directly responds to Uzbekistan's National Health Strategy (2021-2030), which prioritizes ophthalmology as a cornerstone of universal health coverage in</w:t>
      </w:r>
      <w:r>
        <w:t xml:space="preserve"> </w:t>
      </w:r>
      <w:r>
        <w:rPr>
          <w:bCs/>
          <w:b/>
        </w:rPr>
        <w:t xml:space="preserve">Uzbekistan Tashkent</w:t>
      </w:r>
      <w:r>
        <w:t xml:space="preserve">.</w:t>
      </w:r>
    </w:p>
    <w:bookmarkEnd w:id="21"/>
    <w:bookmarkStart w:id="22" w:name="literature-review"/>
    <w:p>
      <w:pPr>
        <w:pStyle w:val="Heading2"/>
      </w:pPr>
      <w:r>
        <w:t xml:space="preserve">3. Literature Review</w:t>
      </w:r>
    </w:p>
    <w:p>
      <w:pPr>
        <w:pStyle w:val="FirstParagraph"/>
      </w:pPr>
      <w:r>
        <w:t xml:space="preserve">Existing studies on Central Asian ophthalmology reveal a consistent pattern of specialist scarcity. A 2023 study by the Asian Pacific Academy of Ophthalmology documented Uzbekistan’s ophthalmologist shortage at 1:75,000—worse than regional peers. However, no research has holistically examined workflow inefficiencies in Tashkent's eye care ecosystem. Previous</w:t>
      </w:r>
      <w:r>
        <w:t xml:space="preserve"> </w:t>
      </w:r>
      <w:r>
        <w:rPr>
          <w:bCs/>
          <w:b/>
        </w:rPr>
        <w:t xml:space="preserve">Research Proposal</w:t>
      </w:r>
      <w:r>
        <w:t xml:space="preserve">s focused on equipment donations but neglected human resource development. Notably, the role of the</w:t>
      </w:r>
      <w:r>
        <w:t xml:space="preserve"> </w:t>
      </w:r>
      <w:r>
        <w:rPr>
          <w:bCs/>
          <w:b/>
        </w:rPr>
        <w:t xml:space="preserve">Ophthalmologist</w:t>
      </w:r>
      <w:r>
        <w:t xml:space="preserve"> </w:t>
      </w:r>
      <w:r>
        <w:t xml:space="preserve">in telemedicine integration remains unexplored in Uzbekistan’s context. This gap is critical: Tashkent’s pilot teleophthalmology project (2022) failed due to insufficient specialist oversight, proving that technical solutions alone cannot resolve systemic gaps. Our study builds on this by centering the</w:t>
      </w:r>
      <w:r>
        <w:t xml:space="preserve"> </w:t>
      </w:r>
      <w:r>
        <w:rPr>
          <w:bCs/>
          <w:b/>
        </w:rPr>
        <w:t xml:space="preserve">Ophthalmologist</w:t>
      </w:r>
      <w:r>
        <w:t xml:space="preserve"> </w:t>
      </w:r>
      <w:r>
        <w:t xml:space="preserve">as both problem and solution.</w:t>
      </w:r>
    </w:p>
    <w:bookmarkEnd w:id="22"/>
    <w:bookmarkStart w:id="23" w:name="research-objectives"/>
    <w:p>
      <w:pPr>
        <w:pStyle w:val="Heading2"/>
      </w:pPr>
      <w:r>
        <w:t xml:space="preserve">4. Research Objectives</w:t>
      </w:r>
    </w:p>
    <w:p>
      <w:pPr>
        <w:pStyle w:val="FirstParagraph"/>
      </w:pPr>
      <w:r>
        <w:t xml:space="preserve">This project establishes three interconnected objectives for Uzbekistan Tashkent:</w:t>
      </w:r>
    </w:p>
    <w:p>
      <w:pPr>
        <w:numPr>
          <w:ilvl w:val="0"/>
          <w:numId w:val="1001"/>
        </w:numPr>
        <w:pStyle w:val="Compact"/>
      </w:pPr>
      <w:r>
        <w:rPr>
          <w:bCs/>
          <w:b/>
        </w:rPr>
        <w:t xml:space="preserve">Assess workforce capacity:</w:t>
      </w:r>
      <w:r>
        <w:t xml:space="preserve"> </w:t>
      </w:r>
      <w:r>
        <w:t xml:space="preserve">Quantify ophthalmologist distribution, workload, and training gaps across Tashkent’s public/private facilities using physician surveys and facility audits.</w:t>
      </w:r>
    </w:p>
    <w:p>
      <w:pPr>
        <w:numPr>
          <w:ilvl w:val="0"/>
          <w:numId w:val="1001"/>
        </w:numPr>
        <w:pStyle w:val="Compact"/>
      </w:pPr>
      <w:r>
        <w:rPr>
          <w:bCs/>
          <w:b/>
        </w:rPr>
        <w:t xml:space="preserve">Analyze service delivery models:</w:t>
      </w:r>
      <w:r>
        <w:t xml:space="preserve"> </w:t>
      </w:r>
      <w:r>
        <w:t xml:space="preserve">Evaluate how the current role of the</w:t>
      </w:r>
      <w:r>
        <w:t xml:space="preserve"> </w:t>
      </w:r>
      <w:r>
        <w:rPr>
          <w:bCs/>
          <w:b/>
        </w:rPr>
        <w:t xml:space="preserve">Ophthalmologist</w:t>
      </w:r>
      <w:r>
        <w:t xml:space="preserve"> </w:t>
      </w:r>
      <w:r>
        <w:t xml:space="preserve">integrates with primary care teams to identify bottlenecks in patient pathways.</w:t>
      </w:r>
    </w:p>
    <w:p>
      <w:pPr>
        <w:numPr>
          <w:ilvl w:val="0"/>
          <w:numId w:val="1001"/>
        </w:numPr>
        <w:pStyle w:val="Compact"/>
      </w:pPr>
      <w:r>
        <w:rPr>
          <w:bCs/>
          <w:b/>
        </w:rPr>
        <w:t xml:space="preserve">Develop scalable interventions:</w:t>
      </w:r>
      <w:r>
        <w:t xml:space="preserve"> </w:t>
      </w:r>
      <w:r>
        <w:t xml:space="preserve">Co-create evidence-based strategies for expanding ophthalmologist-led care, including task-shifting protocols and digital toolkits tailored for Tashkent’s infrastructure.</w:t>
      </w:r>
    </w:p>
    <w:bookmarkEnd w:id="23"/>
    <w:bookmarkStart w:id="24" w:name="methodology"/>
    <w:p>
      <w:pPr>
        <w:pStyle w:val="Heading2"/>
      </w:pPr>
      <w:r>
        <w:t xml:space="preserve">5. Methodology</w:t>
      </w:r>
    </w:p>
    <w:p>
      <w:pPr>
        <w:pStyle w:val="FirstParagraph"/>
      </w:pPr>
      <w:r>
        <w:t xml:space="preserve">The mixed-methods approach combines quantitative data with practitioner insights:</w:t>
      </w:r>
    </w:p>
    <w:p>
      <w:pPr>
        <w:numPr>
          <w:ilvl w:val="0"/>
          <w:numId w:val="1002"/>
        </w:numPr>
        <w:pStyle w:val="Compact"/>
      </w:pPr>
      <w:r>
        <w:rPr>
          <w:bCs/>
          <w:b/>
        </w:rPr>
        <w:t xml:space="preserve">Phase 1 (Quantitative):</w:t>
      </w:r>
      <w:r>
        <w:t xml:space="preserve"> </w:t>
      </w:r>
      <w:r>
        <w:t xml:space="preserve">Survey 180 ophthalmologists across Tashkent’s 35 public hospitals and clinics (using stratified sampling). Metrics include: patient volume/hour, diagnostic equipment access, and training hours/year.</w:t>
      </w:r>
    </w:p>
    <w:p>
      <w:pPr>
        <w:numPr>
          <w:ilvl w:val="0"/>
          <w:numId w:val="1002"/>
        </w:numPr>
        <w:pStyle w:val="Compact"/>
      </w:pPr>
      <w:r>
        <w:rPr>
          <w:bCs/>
          <w:b/>
        </w:rPr>
        <w:t xml:space="preserve">Phase 2 (Qualitative):</w:t>
      </w:r>
      <w:r>
        <w:t xml:space="preserve"> </w:t>
      </w:r>
      <w:r>
        <w:t xml:space="preserve">Conduct focus groups with 45 key stakeholders (including ophthalmologists, primary care physicians, and Ministry of Health officials) to map referral pathways and identify cultural barriers to specialist utilization.</w:t>
      </w:r>
    </w:p>
    <w:p>
      <w:pPr>
        <w:numPr>
          <w:ilvl w:val="0"/>
          <w:numId w:val="1002"/>
        </w:numPr>
        <w:pStyle w:val="Compact"/>
      </w:pPr>
      <w:r>
        <w:rPr>
          <w:bCs/>
          <w:b/>
        </w:rPr>
        <w:t xml:space="preserve">Phase 3 (Implementation Lab):</w:t>
      </w:r>
      <w:r>
        <w:t xml:space="preserve"> </w:t>
      </w:r>
      <w:r>
        <w:t xml:space="preserve">Pilot a standardized "Ophthalmologist Care Navigator" protocol in two Tashkent districts. The role combines clinical oversight with community screening coordination—tested against control sites.</w:t>
      </w:r>
    </w:p>
    <w:p>
      <w:pPr>
        <w:pStyle w:val="FirstParagraph"/>
      </w:pPr>
      <w:r>
        <w:t xml:space="preserve">Data will be triangulated using WHO health workforce indicators and analyzed via SPSS. All protocols adhere to Uzbekistan’s Medical Research Ethics Guidelines, with approval from Tashkent Medical University’s IRB.</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comprehensive map of ophthalmologist resource distribution in Uzbekistan Tashkent, revealing critical gaps in districts like Chilanzar and Bektemir.</w:t>
      </w:r>
    </w:p>
    <w:p>
      <w:pPr>
        <w:numPr>
          <w:ilvl w:val="0"/>
          <w:numId w:val="1003"/>
        </w:numPr>
        <w:pStyle w:val="Compact"/>
      </w:pPr>
      <w:r>
        <w:t xml:space="preserve">A validated workflow model for the modernized role of the Ophthalmologist, reducing patient wait times by 40% through optimized triage.</w:t>
      </w:r>
    </w:p>
    <w:p>
      <w:pPr>
        <w:numPr>
          <w:ilvl w:val="0"/>
          <w:numId w:val="1003"/>
        </w:numPr>
        <w:pStyle w:val="Compact"/>
      </w:pPr>
      <w:r>
        <w:t xml:space="preserve">Policy briefs for Uzbekistan’s Ministry of Health, proposing curriculum reforms to train 50+ new ophthalmologists annually via Tashkent-based residency programs.</w:t>
      </w:r>
    </w:p>
    <w:p>
      <w:pPr>
        <w:numPr>
          <w:ilvl w:val="0"/>
          <w:numId w:val="1003"/>
        </w:numPr>
        <w:pStyle w:val="Compact"/>
      </w:pPr>
      <w:r>
        <w:t xml:space="preserve">A telehealth toolkit co-designed with Tashkent’s eye care providers, enabling remote ophthalmologist supervision of rural screenings.</w:t>
      </w:r>
    </w:p>
    <w:p>
      <w:pPr>
        <w:pStyle w:val="FirstParagraph"/>
      </w:pPr>
      <w:r>
        <w:t xml:space="preserve">Crucially, the research centers the</w:t>
      </w:r>
      <w:r>
        <w:t xml:space="preserve"> </w:t>
      </w:r>
      <w:r>
        <w:rPr>
          <w:bCs/>
          <w:b/>
        </w:rPr>
        <w:t xml:space="preserve">Ophthalmologist</w:t>
      </w:r>
      <w:r>
        <w:t xml:space="preserve"> </w:t>
      </w:r>
      <w:r>
        <w:t xml:space="preserve">as a catalyst for systemic change—not merely a clinical actor—aligning with Uzbekistan's "Digital Health Strategy 2030."</w:t>
      </w:r>
    </w:p>
    <w:bookmarkEnd w:id="25"/>
    <w:bookmarkStart w:id="26" w:name="significance-and-impact"/>
    <w:p>
      <w:pPr>
        <w:pStyle w:val="Heading2"/>
      </w:pPr>
      <w:r>
        <w:t xml:space="preserve">7. Significance and Impact</w:t>
      </w:r>
    </w:p>
    <w:p>
      <w:pPr>
        <w:pStyle w:val="FirstParagraph"/>
      </w:pPr>
      <w:r>
        <w:t xml:space="preserve">In Uzbekistan Tashkent, this research directly addresses the Sustainable Development Goal 3.8 (universal health coverage) by creating a replicable framework for eye care sustainability. By empowering the Ophthalmologist to lead integrated care teams, the project mitigates reliance on foreign specialists and reduces costs—key priorities under President Shavkat Mirziyoyev’s healthcare reforms. Long-term, findings will inform Uzbekistan’s National Eye Health Plan (2025), potentially preventing 12,000+ cases of avoidable blindness annually. For the global health community, this</w:t>
      </w:r>
      <w:r>
        <w:t xml:space="preserve"> </w:t>
      </w:r>
      <w:r>
        <w:rPr>
          <w:bCs/>
          <w:b/>
        </w:rPr>
        <w:t xml:space="preserve">Research Proposal</w:t>
      </w:r>
      <w:r>
        <w:t xml:space="preserve"> </w:t>
      </w:r>
      <w:r>
        <w:t xml:space="preserve">offers a blueprint for low-resource settings: how to leverage existing ophthalmologist networks to achieve scale without massive infrastructure investment.</w:t>
      </w:r>
    </w:p>
    <w:bookmarkEnd w:id="26"/>
    <w:bookmarkStart w:id="27" w:name="timeline-and-budget"/>
    <w:p>
      <w:pPr>
        <w:pStyle w:val="Heading2"/>
      </w:pPr>
      <w:r>
        <w:t xml:space="preserve">8. Timeline and Budget</w:t>
      </w:r>
    </w:p>
    <w:p>
      <w:pPr>
        <w:pStyle w:val="FirstParagraph"/>
      </w:pPr>
      <w:r>
        <w:t xml:space="preserve">The 18-month project launches in Q1 2025. Key milestones include:</w:t>
      </w:r>
    </w:p>
    <w:p>
      <w:pPr>
        <w:numPr>
          <w:ilvl w:val="0"/>
          <w:numId w:val="1004"/>
        </w:numPr>
        <w:pStyle w:val="Compact"/>
      </w:pPr>
      <w:r>
        <w:rPr>
          <w:bCs/>
          <w:b/>
        </w:rPr>
        <w:t xml:space="preserve">Months 1-3:</w:t>
      </w:r>
      <w:r>
        <w:t xml:space="preserve"> </w:t>
      </w:r>
      <w:r>
        <w:t xml:space="preserve">Stakeholder engagement with Tashkent Health Department</w:t>
      </w:r>
    </w:p>
    <w:p>
      <w:pPr>
        <w:numPr>
          <w:ilvl w:val="0"/>
          <w:numId w:val="1004"/>
        </w:numPr>
        <w:pStyle w:val="Compact"/>
      </w:pPr>
      <w:r>
        <w:rPr>
          <w:bCs/>
          <w:b/>
        </w:rPr>
        <w:t xml:space="preserve">Months 4-9:</w:t>
      </w:r>
      <w:r>
        <w:t xml:space="preserve"> </w:t>
      </w:r>
      <w:r>
        <w:t xml:space="preserve">Data collection and analysis</w:t>
      </w:r>
    </w:p>
    <w:p>
      <w:pPr>
        <w:numPr>
          <w:ilvl w:val="0"/>
          <w:numId w:val="1004"/>
        </w:numPr>
        <w:pStyle w:val="Compact"/>
      </w:pPr>
      <w:r>
        <w:rPr>
          <w:bCs/>
          <w:b/>
        </w:rPr>
        <w:t xml:space="preserve">Months 10-15:</w:t>
      </w:r>
      <w:r>
        <w:t xml:space="preserve"> </w:t>
      </w:r>
      <w:r>
        <w:t xml:space="preserve">Intervention pilot and refinement</w:t>
      </w:r>
    </w:p>
    <w:p>
      <w:pPr>
        <w:numPr>
          <w:ilvl w:val="0"/>
          <w:numId w:val="1004"/>
        </w:numPr>
        <w:pStyle w:val="Compact"/>
      </w:pPr>
      <w:r>
        <w:rPr>
          <w:bCs/>
          <w:b/>
        </w:rPr>
        <w:t xml:space="preserve">Months 16-18:</w:t>
      </w:r>
      <w:r>
        <w:t xml:space="preserve"> </w:t>
      </w:r>
      <w:r>
        <w:t xml:space="preserve">Policy dissemination and final reporting</w:t>
      </w:r>
    </w:p>
    <w:p>
      <w:pPr>
        <w:pStyle w:val="FirstParagraph"/>
      </w:pPr>
      <w:r>
        <w:t xml:space="preserve">Budget: $245,000 (funding sought from WHO Central Asia Office, Uzbekistan Ministry of Health, and USAID). Costs cover personnel (65%), data tools (25%), and community outreach (10%).</w:t>
      </w:r>
    </w:p>
    <w:bookmarkEnd w:id="27"/>
    <w:bookmarkStart w:id="28" w:name="conclusion"/>
    <w:p>
      <w:pPr>
        <w:pStyle w:val="Heading2"/>
      </w:pPr>
      <w:r>
        <w:t xml:space="preserve">9. Conclusion</w:t>
      </w:r>
    </w:p>
    <w:p>
      <w:pPr>
        <w:pStyle w:val="FirstParagraph"/>
      </w:pPr>
      <w:r>
        <w:t xml:space="preserve">The role of the Ophthalmologist in Uzbekistan Tashkent is pivotal to achieving equitable eye health outcomes. This</w:t>
      </w:r>
      <w:r>
        <w:t xml:space="preserve"> </w:t>
      </w:r>
      <w:r>
        <w:rPr>
          <w:bCs/>
          <w:b/>
        </w:rPr>
        <w:t xml:space="preserve">Research Proposal</w:t>
      </w:r>
      <w:r>
        <w:t xml:space="preserve"> </w:t>
      </w:r>
      <w:r>
        <w:t xml:space="preserve">transcends academic inquiry by embedding solutions within Tashkent’s unique healthcare ecosystem—where cultural context, infrastructure constraints, and policy opportunities converge. By redefining the Ophthalmologist as a strategic leader rather than a clinic-based clinician, we catalyze sustainable transformation across Uzbekistan. As Tashkent evolves into Central Asia’s medical hub, this research ensures ophthalmology becomes a pillar of its healthcare success story. We urgently seek partnership to turn this</w:t>
      </w:r>
      <w:r>
        <w:t xml:space="preserve"> </w:t>
      </w:r>
      <w:r>
        <w:rPr>
          <w:bCs/>
          <w:b/>
        </w:rPr>
        <w:t xml:space="preserve">Research Proposal</w:t>
      </w:r>
      <w:r>
        <w:t xml:space="preserve"> </w:t>
      </w:r>
      <w:r>
        <w:t xml:space="preserve">into action for the vision of every citizen in</w:t>
      </w:r>
      <w:r>
        <w:t xml:space="preserve"> </w:t>
      </w:r>
      <w:r>
        <w:rPr>
          <w:bCs/>
          <w:b/>
        </w:rPr>
        <w:t xml:space="preserve">Uzbekistan Tashkent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Ophthalmologist Services in Tashkent, Uzbekistan</dc:title>
  <dc:creator/>
  <dc:language>en</dc:language>
  <cp:keywords/>
  <dcterms:created xsi:type="dcterms:W3CDTF">2026-07-23T15:18:31Z</dcterms:created>
  <dcterms:modified xsi:type="dcterms:W3CDTF">2026-07-23T15:18:31Z</dcterms:modified>
</cp:coreProperties>
</file>

<file path=docProps/custom.xml><?xml version="1.0" encoding="utf-8"?>
<Properties xmlns="http://schemas.openxmlformats.org/officeDocument/2006/custom-properties" xmlns:vt="http://schemas.openxmlformats.org/officeDocument/2006/docPropsVTypes"/>
</file>