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Algeria,</w:t>
      </w:r>
      <w:r>
        <w:t xml:space="preserve"> </w:t>
      </w:r>
      <w:r>
        <w:t xml:space="preserve">Algiers</w:t>
      </w:r>
    </w:p>
    <w:bookmarkStart w:id="28" w:name="Xb0211092f8e69c9c49c34c81dda9ece842e46cb"/>
    <w:p>
      <w:pPr>
        <w:pStyle w:val="Heading1"/>
      </w:pPr>
      <w:r>
        <w:t xml:space="preserve">Research Proposal: Advancing Optometric Care as a Critical Healthcare Component in Algeria, Algiers</w:t>
      </w:r>
    </w:p>
    <w:bookmarkStart w:id="20" w:name="i.-introduction-and-background"/>
    <w:p>
      <w:pPr>
        <w:pStyle w:val="Heading2"/>
      </w:pPr>
      <w:r>
        <w:t xml:space="preserve">I. Introduction and Background</w:t>
      </w:r>
    </w:p>
    <w:p>
      <w:pPr>
        <w:pStyle w:val="FirstParagraph"/>
      </w:pPr>
      <w:r>
        <w:t xml:space="preserve">Algeria's healthcare landscape faces significant challenges in ophthalmic care delivery, particularly within the capital city of Algiers. Despite high prevalence rates of vision impairment (estimated at 4.5 million Algerians with uncorrected refractive errors according to WHO data), Algeria lacks a formalized optometric profession. Currently, eye care is dominated by ophthalmologists—medical doctors specializing in surgery and complex diseases—but there is no legal recognition or regulated training pathway for Optometrists. This gap creates systemic inefficiencies: ophthalmologists are overburdened with routine vision correction services (e.g., prescriptions, low-vision aids), diverting critical resources from surgical emergencies like cataracts or diabetic retinopathy. In Algiers alone, where 40% of Algeria's population resides, the ratio of eye care professionals to citizens stands at 1:850,000—far below the WHO-recommended minimum of 1:50,000. This proposal addresses this critical deficiency through a targeted research initiative to establish evidence-based pathways for Optometrist integration into Algeria's healthcare framework.</w:t>
      </w:r>
    </w:p>
    <w:bookmarkEnd w:id="20"/>
    <w:bookmarkStart w:id="21" w:name="ii.-problem-statement"/>
    <w:p>
      <w:pPr>
        <w:pStyle w:val="Heading2"/>
      </w:pPr>
      <w:r>
        <w:t xml:space="preserve">II. Problem Statement</w:t>
      </w:r>
    </w:p>
    <w:p>
      <w:pPr>
        <w:pStyle w:val="FirstParagraph"/>
      </w:pPr>
      <w:r>
        <w:t xml:space="preserve">The absence of a regulated Optometrist profession in Algeria directly undermines public health outcomes in Algiers. Key issues include:</w:t>
      </w:r>
    </w:p>
    <w:p>
      <w:pPr>
        <w:numPr>
          <w:ilvl w:val="0"/>
          <w:numId w:val="1001"/>
        </w:numPr>
        <w:pStyle w:val="Compact"/>
      </w:pPr>
      <w:r>
        <w:rPr>
          <w:bCs/>
          <w:b/>
        </w:rPr>
        <w:t xml:space="preserve">Access Barriers:</w:t>
      </w:r>
      <w:r>
        <w:t xml:space="preserve"> </w:t>
      </w:r>
      <w:r>
        <w:t xml:space="preserve">Patients travel hours to reach Algiers' few eye clinics, facing 3–6 month wait times for initial consultations.</w:t>
      </w:r>
    </w:p>
    <w:p>
      <w:pPr>
        <w:numPr>
          <w:ilvl w:val="0"/>
          <w:numId w:val="1001"/>
        </w:numPr>
        <w:pStyle w:val="Compact"/>
      </w:pPr>
      <w:r>
        <w:rPr>
          <w:bCs/>
          <w:b/>
        </w:rPr>
        <w:t xml:space="preserve">Economic Burden:</w:t>
      </w:r>
      <w:r>
        <w:t xml:space="preserve"> </w:t>
      </w:r>
      <w:r>
        <w:t xml:space="preserve">Unaddressed refractive errors reduce workforce productivity by an estimated 12% (World Bank, 2023), costing Algeria $1.8 billion annually in lost GDP.</w:t>
      </w:r>
    </w:p>
    <w:p>
      <w:pPr>
        <w:numPr>
          <w:ilvl w:val="0"/>
          <w:numId w:val="1001"/>
        </w:numPr>
        <w:pStyle w:val="Compact"/>
      </w:pPr>
      <w:r>
        <w:rPr>
          <w:bCs/>
          <w:b/>
        </w:rPr>
        <w:t xml:space="preserve">Professional Fragmentation:</w:t>
      </w:r>
      <w:r>
        <w:t xml:space="preserve"> </w:t>
      </w:r>
      <w:r>
        <w:t xml:space="preserve">Existing "vision care providers" operate without standardization, risking unsafe practices (e.g., incorrect lens prescriptions) due to unregulated training.</w:t>
      </w:r>
    </w:p>
    <w:p>
      <w:pPr>
        <w:pStyle w:val="FirstParagraph"/>
      </w:pPr>
      <w:r>
        <w:t xml:space="preserve">This research directly targets the urgent need to develop a sustainable Optometrist model tailored to Algeria's socio-cultural and healthcare infrastructure in Algiers, where 78% of the population relies on public facilities for primary eye care (National Health Survey, 2022).</w:t>
      </w:r>
    </w:p>
    <w:bookmarkEnd w:id="21"/>
    <w:bookmarkStart w:id="22" w:name="iii.-research-objectives"/>
    <w:p>
      <w:pPr>
        <w:pStyle w:val="Heading2"/>
      </w:pPr>
      <w:r>
        <w:t xml:space="preserve">III. Research Objectives</w:t>
      </w:r>
    </w:p>
    <w:p>
      <w:pPr>
        <w:numPr>
          <w:ilvl w:val="0"/>
          <w:numId w:val="1002"/>
        </w:numPr>
        <w:pStyle w:val="Compact"/>
      </w:pPr>
      <w:r>
        <w:t xml:space="preserve">To conduct a comprehensive needs assessment of optometric services across Algiers' public and private healthcare sectors.</w:t>
      </w:r>
    </w:p>
    <w:p>
      <w:pPr>
        <w:numPr>
          <w:ilvl w:val="0"/>
          <w:numId w:val="1002"/>
        </w:numPr>
        <w:pStyle w:val="Compact"/>
      </w:pPr>
      <w:r>
        <w:t xml:space="preserve">To analyze international best practices (e.g., Egypt, Morocco) for adapting Optometrist scope-of-practice frameworks to Algeria's legal context.</w:t>
      </w:r>
    </w:p>
    <w:p>
      <w:pPr>
        <w:numPr>
          <w:ilvl w:val="0"/>
          <w:numId w:val="1002"/>
        </w:numPr>
        <w:pStyle w:val="Compact"/>
      </w:pPr>
      <w:r>
        <w:t xml:space="preserve">To evaluate community readiness and stakeholder acceptance (patients, ophthalmologists, Ministry of Health officials) in Algiers regarding optometric integration.</w:t>
      </w:r>
    </w:p>
    <w:p>
      <w:pPr>
        <w:numPr>
          <w:ilvl w:val="0"/>
          <w:numId w:val="1002"/>
        </w:numPr>
        <w:pStyle w:val="Compact"/>
      </w:pPr>
      <w:r>
        <w:t xml:space="preserve">To propose a phased implementation roadmap for establishing accredited Optometrist training programs in Algiers.</w:t>
      </w:r>
    </w:p>
    <w:bookmarkEnd w:id="22"/>
    <w:bookmarkStart w:id="23" w:name="iv.-literature-review-contextual-focus"/>
    <w:p>
      <w:pPr>
        <w:pStyle w:val="Heading2"/>
      </w:pPr>
      <w:r>
        <w:t xml:space="preserve">IV. Literature Review (Contextual Focus)</w:t>
      </w:r>
    </w:p>
    <w:p>
      <w:pPr>
        <w:pStyle w:val="FirstParagraph"/>
      </w:pPr>
      <w:r>
        <w:t xml:space="preserve">Global evidence underscores optometry's role in reducing healthcare burdens: In Morocco, optometric services reduced ophthalmologist wait times by 35% and increased eye care coverage by 40% (IAPB, 2021). Similarly, Egypt’s optometry licensure law (2019) decreased preventable blindness rates by 27% in urban centers. However, Algeria’s unique context—characterized by a centralized healthcare system with limited private-sector investment and cultural reliance on physician-led care—requires localized solutions. Prior Algerian studies (e.g., Benmansour &amp; Mokhtari, 2020) note community demand for affordable vision services in Algiers but lack actionable strategies for professional integration. This research bridges that gap by centering Algerian stakeholder voices within the proposal framework.</w:t>
      </w:r>
    </w:p>
    <w:bookmarkEnd w:id="23"/>
    <w:bookmarkStart w:id="24" w:name="v.-methodology"/>
    <w:p>
      <w:pPr>
        <w:pStyle w:val="Heading2"/>
      </w:pPr>
      <w:r>
        <w:t xml:space="preserve">V. Methodology</w:t>
      </w:r>
    </w:p>
    <w:p>
      <w:pPr>
        <w:pStyle w:val="FirstParagraph"/>
      </w:pPr>
      <w:r>
        <w:t xml:space="preserve">A mixed-methods approach will be deployed across Algiers over 18 months:</w:t>
      </w:r>
    </w:p>
    <w:p>
      <w:pPr>
        <w:numPr>
          <w:ilvl w:val="0"/>
          <w:numId w:val="1003"/>
        </w:numPr>
        <w:pStyle w:val="Compact"/>
      </w:pPr>
      <w:r>
        <w:rPr>
          <w:bCs/>
          <w:b/>
        </w:rPr>
        <w:t xml:space="preserve">Phase 1 (Months 1–4):</w:t>
      </w:r>
      <w:r>
        <w:t xml:space="preserve"> </w:t>
      </w:r>
      <w:r>
        <w:t xml:space="preserve">Quantitative assessment via survey of 300+ healthcare facilities in Algiers (public clinics, private opticians) to map current service gaps and patient volume data.</w:t>
      </w:r>
    </w:p>
    <w:p>
      <w:pPr>
        <w:numPr>
          <w:ilvl w:val="0"/>
          <w:numId w:val="1003"/>
        </w:numPr>
        <w:pStyle w:val="Compact"/>
      </w:pPr>
      <w:r>
        <w:rPr>
          <w:bCs/>
          <w:b/>
        </w:rPr>
        <w:t xml:space="preserve">Phase 2 (Months 5–8):</w:t>
      </w:r>
      <w:r>
        <w:t xml:space="preserve"> </w:t>
      </w:r>
      <w:r>
        <w:t xml:space="preserve">Qualitative stakeholder analysis through 45 semi-structured interviews with key actors: Ministry of Health policymakers (n=15), ophthalmologists (n=20), and community leaders in Algiers’ districts (n=10).</w:t>
      </w:r>
    </w:p>
    <w:p>
      <w:pPr>
        <w:numPr>
          <w:ilvl w:val="0"/>
          <w:numId w:val="1003"/>
        </w:numPr>
        <w:pStyle w:val="Compact"/>
      </w:pPr>
      <w:r>
        <w:rPr>
          <w:bCs/>
          <w:b/>
        </w:rPr>
        <w:t xml:space="preserve">Phase 3 (Months 9–14):</w:t>
      </w:r>
      <w:r>
        <w:t xml:space="preserve"> </w:t>
      </w:r>
      <w:r>
        <w:t xml:space="preserve">Comparative policy analysis of optometry frameworks in Tunisia, Turkey, and South Africa—assessing adaptability to Algeria’s legal system.</w:t>
      </w:r>
    </w:p>
    <w:p>
      <w:pPr>
        <w:numPr>
          <w:ilvl w:val="0"/>
          <w:numId w:val="1003"/>
        </w:numPr>
        <w:pStyle w:val="Compact"/>
      </w:pPr>
      <w:r>
        <w:rPr>
          <w:bCs/>
          <w:b/>
        </w:rPr>
        <w:t xml:space="preserve">Phase 4 (Months 15–18):</w:t>
      </w:r>
      <w:r>
        <w:t xml:space="preserve"> </w:t>
      </w:r>
      <w:r>
        <w:t xml:space="preserve">Co-creation workshops in Algiers with stakeholders to finalize the Optometrist scope-of-practice model and training curriculum draft.</w:t>
      </w:r>
    </w:p>
    <w:p>
      <w:pPr>
        <w:pStyle w:val="FirstParagraph"/>
      </w:pPr>
      <w:r>
        <w:t xml:space="preserve">All data collection will comply with Algerian ethics regulations, using Arabic/French surveys administered via community health workers to ensure inclusivity across Algiers’ diverse neighborhoods (e.g., Bab El Oued, Sidi M'Hamed).</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concrete outputs:</w:t>
      </w:r>
    </w:p>
    <w:p>
      <w:pPr>
        <w:numPr>
          <w:ilvl w:val="0"/>
          <w:numId w:val="1004"/>
        </w:numPr>
        <w:pStyle w:val="Compact"/>
      </w:pPr>
      <w:r>
        <w:t xml:space="preserve">A validated policy brief for Algeria’s Ministry of Health detailing the economic and clinical benefits of formalizing Optometrist roles.</w:t>
      </w:r>
    </w:p>
    <w:p>
      <w:pPr>
        <w:numPr>
          <w:ilvl w:val="0"/>
          <w:numId w:val="1004"/>
        </w:numPr>
        <w:pStyle w:val="Compact"/>
      </w:pPr>
      <w:r>
        <w:t xml:space="preserve">An evidence-based draft law defining Optometrist scope-of-practice (e.g., refractive error correction, glaucoma screening, low-vision rehabilitation) aligned with WHO standards.</w:t>
      </w:r>
    </w:p>
    <w:p>
      <w:pPr>
        <w:numPr>
          <w:ilvl w:val="0"/>
          <w:numId w:val="1004"/>
        </w:numPr>
        <w:pStyle w:val="Compact"/>
      </w:pPr>
      <w:r>
        <w:t xml:space="preserve">A pilot curriculum for an Algerian Optometry Diploma program—designed for integration into Algiers’ University of Science and Technology (USTHB) or National Institute of Health.</w:t>
      </w:r>
    </w:p>
    <w:p>
      <w:pPr>
        <w:numPr>
          <w:ilvl w:val="0"/>
          <w:numId w:val="1004"/>
        </w:numPr>
        <w:pStyle w:val="Compact"/>
      </w:pPr>
      <w:r>
        <w:t xml:space="preserve">Community health impact projections: Estimated 60% reduction in waiting times for routine eye exams within 3 years post-implementation in Algiers.</w:t>
      </w:r>
    </w:p>
    <w:p>
      <w:pPr>
        <w:pStyle w:val="FirstParagraph"/>
      </w:pPr>
      <w:r>
        <w:t xml:space="preserve">The significance extends beyond Algiers: Success here will position Algeria as a regional leader in healthcare innovation, directly supporting National Health Strategy goals (2025) to expand primary care access. Critically, this research addresses Algeria’s Sustainable Development Goal 3.8 target for universal health coverage through a scalable model applicable to other North African nations.</w:t>
      </w:r>
    </w:p>
    <w:bookmarkEnd w:id="25"/>
    <w:bookmarkStart w:id="26" w:name="Xf58822593ea7e875023ee87ff1758f8d484f8c3"/>
    <w:p>
      <w:pPr>
        <w:pStyle w:val="Heading2"/>
      </w:pPr>
      <w:r>
        <w:t xml:space="preserve">VII. Implementation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Needs Assessment &amp; Data Collection</w:t>
            </w:r>
          </w:p>
        </w:tc>
        <w:tc>
          <w:tcPr/>
          <w:p>
            <w:pPr>
              <w:pStyle w:val="Compact"/>
              <w:jc w:val="left"/>
            </w:pPr>
            <w:r>
              <w:t xml:space="preserve">4 months</w:t>
            </w:r>
          </w:p>
        </w:tc>
        <w:tc>
          <w:tcPr/>
          <w:p>
            <w:pPr>
              <w:pStyle w:val="Compact"/>
              <w:jc w:val="left"/>
            </w:pPr>
            <w:r>
              <w:t xml:space="preserve">Survey dataset, facility mapping report</w:t>
            </w:r>
          </w:p>
        </w:tc>
        <w:tc>
          <w:tcPr/>
          <w:p>
            <w:pPr>
              <w:pStyle w:val="Compact"/>
              <w:jc w:val="left"/>
            </w:pPr>
            <w:r>
              <w:t xml:space="preserve">$28,500</w:t>
            </w:r>
          </w:p>
        </w:tc>
      </w:tr>
      <w:tr>
        <w:tc>
          <w:tcPr/>
          <w:p>
            <w:pPr>
              <w:pStyle w:val="Compact"/>
              <w:jc w:val="left"/>
            </w:pPr>
            <w:r>
              <w:t xml:space="preserve">Stakeholder Analysis &amp; Policy Review</w:t>
            </w:r>
          </w:p>
        </w:tc>
        <w:tc>
          <w:tcPr/>
          <w:p>
            <w:pPr>
              <w:pStyle w:val="Compact"/>
              <w:jc w:val="left"/>
            </w:pPr>
            <w:r>
              <w:t xml:space="preserve">6 months</w:t>
            </w:r>
          </w:p>
        </w:tc>
        <w:tc>
          <w:tcPr/>
          <w:p>
            <w:pPr>
              <w:pStyle w:val="Compact"/>
              <w:jc w:val="left"/>
            </w:pPr>
            <w:r>
              <w:t xml:space="preserve">Interview transcripts, comparative framework analysis</w:t>
            </w:r>
          </w:p>
        </w:tc>
        <w:tc>
          <w:tcPr/>
          <w:p>
            <w:pPr>
              <w:pStyle w:val="Compact"/>
              <w:jc w:val="left"/>
            </w:pPr>
            <w:r>
              <w:t xml:space="preserve">$35,000</w:t>
            </w:r>
          </w:p>
        </w:tc>
      </w:tr>
      <w:tr>
        <w:tc>
          <w:tcPr/>
          <w:p>
            <w:pPr>
              <w:pStyle w:val="Compact"/>
              <w:jc w:val="left"/>
            </w:pPr>
            <w:r>
              <w:t xml:space="preserve">Pilot Curriculum Development</w:t>
            </w:r>
          </w:p>
        </w:tc>
        <w:tc>
          <w:tcPr/>
          <w:p>
            <w:pPr>
              <w:pStyle w:val="Compact"/>
              <w:jc w:val="left"/>
            </w:pPr>
            <w:r>
              <w:t xml:space="preserve">4 months</w:t>
            </w:r>
          </w:p>
        </w:tc>
        <w:tc>
          <w:tcPr/>
          <w:p>
            <w:pPr>
              <w:pStyle w:val="Compact"/>
              <w:jc w:val="left"/>
            </w:pPr>
            <w:r>
              <w:t xml:space="preserve">Draft training syllabus, scope-of-practice proposal</w:t>
            </w:r>
          </w:p>
        </w:tc>
        <w:tc>
          <w:tcPr/>
          <w:p>
            <w:pPr>
              <w:pStyle w:val="Compact"/>
              <w:jc w:val="left"/>
            </w:pPr>
            <w:r>
              <w:t xml:space="preserve">$22,800</w:t>
            </w:r>
          </w:p>
        </w:tc>
      </w:tr>
      <w:tr>
        <w:tc>
          <w:tcPr/>
          <w:p>
            <w:pPr>
              <w:pStyle w:val="Compact"/>
              <w:jc w:val="left"/>
            </w:pPr>
            <w:r>
              <w:t xml:space="preserve">Workshops &amp; Final Report Dissemination</w:t>
            </w:r>
          </w:p>
        </w:tc>
        <w:tc>
          <w:tcPr/>
          <w:p>
            <w:pPr>
              <w:pStyle w:val="Compact"/>
              <w:jc w:val="left"/>
            </w:pPr>
            <w:r>
              <w:t xml:space="preserve">4 months</w:t>
            </w:r>
          </w:p>
        </w:tc>
        <w:tc>
          <w:tcPr/>
          <w:p>
            <w:pPr>
              <w:pStyle w:val="Compact"/>
              <w:jc w:val="left"/>
            </w:pPr>
            <w:r>
              <w:t xml:space="preserve">Policy brief, stakeholder validation report</w:t>
            </w:r>
          </w:p>
        </w:tc>
        <w:tc>
          <w:tcPr/>
          <w:p>
            <w:pPr>
              <w:pStyle w:val="Compact"/>
              <w:jc w:val="left"/>
            </w:pPr>
            <w:r>
              <w:t xml:space="preserve">$18,700</w:t>
            </w:r>
          </w:p>
        </w:tc>
      </w:tr>
    </w:tbl>
    <w:bookmarkEnd w:id="26"/>
    <w:bookmarkStart w:id="27" w:name="X8b066bb2866abd3248b99a8739ec7f9b24a72c8"/>
    <w:p>
      <w:pPr>
        <w:pStyle w:val="Heading2"/>
      </w:pPr>
      <w:r>
        <w:t xml:space="preserve">VIII. Conclusion: A Vision for Algeria's Future Health System</w:t>
      </w:r>
    </w:p>
    <w:p>
      <w:pPr>
        <w:pStyle w:val="FirstParagraph"/>
      </w:pPr>
      <w:r>
        <w:t xml:space="preserve">The integration of Optometrists into Algeria’s healthcare system—particularly in Algiers, where the need is most acute—represents a strategic investment in public health and economic resilience. This research proposal is not merely academic; it responds to an urgent national priority. By formalizing the Optometrist profession, Algeria can alleviate pressure on ophthalmologists, democratize access to vision care for millions in Algiers, and build a sustainable model that reduces long-term healthcare costs. The proposed study directly supports Algeria’s Vision 2030 goal of modernizing primary healthcare while honoring cultural context: optometric services will be designed with Algerian community values (e.g., family-centered care) at their core. We urge the Ministry of Health, academic institutions in Algiers, and international partners to champion this initiative—because every Algerian deserves clear vision, free from barriers.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Algeria, Algiers</dc:title>
  <dc:creator/>
  <dc:language>en</dc:language>
  <cp:keywords/>
  <dcterms:created xsi:type="dcterms:W3CDTF">2026-07-19T07:00:56Z</dcterms:created>
  <dcterms:modified xsi:type="dcterms:W3CDTF">2026-07-19T07:00:56Z</dcterms:modified>
</cp:coreProperties>
</file>

<file path=docProps/custom.xml><?xml version="1.0" encoding="utf-8"?>
<Properties xmlns="http://schemas.openxmlformats.org/officeDocument/2006/custom-properties" xmlns:vt="http://schemas.openxmlformats.org/officeDocument/2006/docPropsVTypes"/>
</file>