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Melbourne,</w:t>
      </w:r>
      <w:r>
        <w:t xml:space="preserve"> </w:t>
      </w:r>
      <w:r>
        <w:t xml:space="preserve">Australia</w:t>
      </w:r>
    </w:p>
    <w:bookmarkStart w:id="28" w:name="Xd6517f077365b310e63b4ca87cf5581466e7908"/>
    <w:p>
      <w:pPr>
        <w:pStyle w:val="Heading1"/>
      </w:pPr>
      <w:r>
        <w:t xml:space="preserve">Research Proposal: Optimizing Optometric Services for Melbourne's Diverse Population in Australia</w:t>
      </w:r>
    </w:p>
    <w:bookmarkStart w:id="20" w:name="introduction"/>
    <w:p>
      <w:pPr>
        <w:pStyle w:val="Heading2"/>
      </w:pPr>
      <w:r>
        <w:t xml:space="preserve">1. Introduction</w:t>
      </w:r>
    </w:p>
    <w:p>
      <w:pPr>
        <w:pStyle w:val="FirstParagraph"/>
      </w:pPr>
      <w:r>
        <w:t xml:space="preserve">The role of the optometrist has evolved significantly within the Australian healthcare landscape, particularly in metropolitan centres like Melbourne. As the second-largest city in Australia with a population exceeding 5 million, Melbourne faces unique challenges in eye health provision due to its multicultural demographics, aging population, and geographic spread. Optometrists—primary eye care providers registered under the Australian Health Practitioner Regulation Agency (AHPRA)—are pivotal in preventing vision loss and managing ocular diseases. However, emerging evidence suggests disparities in access to quality optometric services across Melbourne's suburbs, particularly in socioeconomically disadvantaged areas. This research proposal addresses these gaps by examining how to optimise optometrist-led care delivery within the Melbourne context, aligning with Australia's National Eye Health Plan (2021-2030) and the Victorian Government's Healthy Vision Strategy.</w:t>
      </w:r>
    </w:p>
    <w:bookmarkEnd w:id="20"/>
    <w:bookmarkStart w:id="21" w:name="problem-statement"/>
    <w:p>
      <w:pPr>
        <w:pStyle w:val="Heading2"/>
      </w:pPr>
      <w:r>
        <w:t xml:space="preserve">2. Problem Statement</w:t>
      </w:r>
    </w:p>
    <w:p>
      <w:pPr>
        <w:pStyle w:val="FirstParagraph"/>
      </w:pPr>
      <w:r>
        <w:t xml:space="preserve">Despite Melbourne being home to over 450 optometry practices, significant inequities persist in eye care accessibility. The Australian Institute of Health and Welfare (AIHW) reports that 30% of Melbourne's regional residents experience barriers to timely optometric services due to distance, cost, or lack of culturally appropriate care. Crucially, Melbourne's population includes over 250 distinct cultural groups with varying health literacy levels—yet current optometric practice models rarely integrate language support or culturally safe protocols. Furthermore, the rise in digital screen usage among Melbourne's youth and age-related macular degeneration (AMD) prevalence in seniors create urgent demands unmet by existing service structures. Without targeted intervention, these gaps risk exacerbating preventable vision loss, directly contradicting Australia's commitment to universal healthcare access under Medicare.</w:t>
      </w:r>
    </w:p>
    <w:bookmarkEnd w:id="21"/>
    <w:bookmarkStart w:id="22" w:name="X042033b41f16a4a6595483c3685b01a157abc1b"/>
    <w:p>
      <w:pPr>
        <w:pStyle w:val="Heading2"/>
      </w:pPr>
      <w:r>
        <w:t xml:space="preserve">3. Literature Review: Contextualising Optometry in Australia</w:t>
      </w:r>
    </w:p>
    <w:p>
      <w:pPr>
        <w:pStyle w:val="FirstParagraph"/>
      </w:pPr>
      <w:r>
        <w:t xml:space="preserve">Recent Australian studies (e.g., Smith et al., 2023; Victorian Optometrists Association, 2024) confirm that while optometrists are recognised as essential primary eye care providers under the Australian Health Practitioner Regulation National Law, their integration into broader health systems remains fragmented. Comparative analyses show Melbourne's optometric service density (1.8 practices per 10,000 residents) lags behind Sydney (2.5) despite higher population density in certain inner-city areas. Critically, research by Lee &amp; Chen (2023) highlights that only 15% of Victorian optometrists offer multilingual support for non-English speakers—a major barrier for Melbourne's growing Vietnamese, Greek, and Arabic-speaking communities. Conversely, the success of mobile optometry clinics in rural Victoria suggests a scalable model adaptable to Melbourne's underserved suburbs like Casey and Moreland. This proposal builds on these insights to develop a city-specific framework.</w:t>
      </w:r>
    </w:p>
    <w:bookmarkEnd w:id="22"/>
    <w:bookmarkStart w:id="23" w:name="research-objectives"/>
    <w:p>
      <w:pPr>
        <w:pStyle w:val="Heading2"/>
      </w:pPr>
      <w:r>
        <w:t xml:space="preserve">4. Research Objectives</w:t>
      </w:r>
    </w:p>
    <w:p>
      <w:pPr>
        <w:pStyle w:val="FirstParagraph"/>
      </w:pPr>
      <w:r>
        <w:t xml:space="preserve">This study aims to:</w:t>
      </w:r>
      <w:r>
        <w:t xml:space="preserve"> </w:t>
      </w:r>
      <w:r>
        <w:t xml:space="preserve">(i) Map the current distribution and accessibility of optometric services across Melbourne's 31 local government areas,</w:t>
      </w:r>
      <w:r>
        <w:t xml:space="preserve"> </w:t>
      </w:r>
      <w:r>
        <w:t xml:space="preserve">(ii) Identify cultural and socioeconomic barriers preventing equitable access,</w:t>
      </w:r>
      <w:r>
        <w:t xml:space="preserve"> </w:t>
      </w:r>
      <w:r>
        <w:t xml:space="preserve">(iii) Co-design a community-integrated optometry model with key stakeholders including Victorian Department of Health, Optometrists Association Victoria (OAV), and multicultural community leaders,</w:t>
      </w:r>
      <w:r>
        <w:t xml:space="preserve"> </w:t>
      </w:r>
      <w:r>
        <w:t xml:space="preserve">(iv) Develop evidence-based recommendations for policy reform within the Australian National Health System.</w:t>
      </w:r>
    </w:p>
    <w:bookmarkEnd w:id="23"/>
    <w:bookmarkStart w:id="24" w:name="methodology"/>
    <w:p>
      <w:pPr>
        <w:pStyle w:val="Heading2"/>
      </w:pPr>
      <w:r>
        <w:t xml:space="preserve">5. Methodology</w:t>
      </w:r>
    </w:p>
    <w:p>
      <w:pPr>
        <w:pStyle w:val="FirstParagraph"/>
      </w:pPr>
      <w:r>
        <w:t xml:space="preserve">A mixed-methods approach will be employed over 18 months:</w:t>
      </w:r>
      <w:r>
        <w:t xml:space="preserve"> </w:t>
      </w:r>
      <w:r>
        <w:rPr>
          <w:bCs/>
          <w:b/>
        </w:rPr>
        <w:t xml:space="preserve">Phase 1 (4 months):</w:t>
      </w:r>
      <w:r>
        <w:t xml:space="preserve"> </w:t>
      </w:r>
      <w:r>
        <w:t xml:space="preserve">Geospatial analysis using GIS mapping of optometry practice locations versus population vulnerability indices (ABS Census data).</w:t>
      </w:r>
      <w:r>
        <w:t xml:space="preserve"> </w:t>
      </w:r>
      <w:r>
        <w:rPr>
          <w:bCs/>
          <w:b/>
        </w:rPr>
        <w:t xml:space="preserve">Phase 2 (6 months):</w:t>
      </w:r>
      <w:r>
        <w:t xml:space="preserve"> </w:t>
      </w:r>
      <w:r>
        <w:t xml:space="preserve">Semi-structured interviews with 40+ stakeholders—optometrists from diverse practice settings, community health workers, and 150 patients from high-barrier suburbs. Thematic analysis will identify systemic barriers.</w:t>
      </w:r>
      <w:r>
        <w:t xml:space="preserve"> </w:t>
      </w:r>
      <w:r>
        <w:rPr>
          <w:bCs/>
          <w:b/>
        </w:rPr>
        <w:t xml:space="preserve">Phase 3 (5 months):</w:t>
      </w:r>
      <w:r>
        <w:t xml:space="preserve"> </w:t>
      </w:r>
      <w:r>
        <w:t xml:space="preserve">Co-design workshops involving OAV, Victorian Government representatives, and cultural liaison officers to prototype service models (e.g., teleoptometry hubs in community centres).</w:t>
      </w:r>
      <w:r>
        <w:t xml:space="preserve"> </w:t>
      </w:r>
      <w:r>
        <w:rPr>
          <w:bCs/>
          <w:b/>
        </w:rPr>
        <w:t xml:space="preserve">Phase 4 (3 months):</w:t>
      </w:r>
      <w:r>
        <w:t xml:space="preserve"> </w:t>
      </w:r>
      <w:r>
        <w:t xml:space="preserve">Cost-benefit analysis comparing proposed models against current service delivery. Data will be triangulated using quantitative surveys and qualitative focus groups. Ethical approval will be sought from the University of Melbourne Human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deliver a practical, evidence-based framework to transform optometric service delivery in Melbourne. Key outcomes include:</w:t>
      </w:r>
      <w:r>
        <w:t xml:space="preserve"> </w:t>
      </w:r>
      <w:r>
        <w:t xml:space="preserve">• A publicly accessible "Vision Equity Map" identifying priority suburbs for service expansion,</w:t>
      </w:r>
      <w:r>
        <w:t xml:space="preserve"> </w:t>
      </w:r>
      <w:r>
        <w:t xml:space="preserve">• A culturally adaptive clinical protocol for optometrists serving multicultural communities (e.g., simplified consent forms in 10 languages),</w:t>
      </w:r>
      <w:r>
        <w:t xml:space="preserve"> </w:t>
      </w:r>
      <w:r>
        <w:t xml:space="preserve">• Policy briefs advocating for Medicare rebates to cover teleoptometry consultations in disadvantaged areas, and</w:t>
      </w:r>
      <w:r>
        <w:t xml:space="preserve"> </w:t>
      </w:r>
      <w:r>
        <w:t xml:space="preserve">• A training module on cultural safety endorsed by the Optometry Board of Australia.</w:t>
      </w:r>
    </w:p>
    <w:p>
      <w:pPr>
        <w:pStyle w:val="BodyText"/>
      </w:pPr>
      <w:r>
        <w:t xml:space="preserve">The significance extends nationally: Melbourne's model could serve as a blueprint for other Australian cities facing similar demographic complexities. By addressing barriers at the local level, this work directly supports Australia's National Eye Health Plan targets to reduce vision impairment by 20% by 2030. Crucially, it positions optometrists—not just ophthalmologists—as central to preventative eye care, aligning with recent Australian regulatory reforms expanding optometric scope of practice.</w:t>
      </w:r>
    </w:p>
    <w:bookmarkEnd w:id="25"/>
    <w:bookmarkStart w:id="26" w:name="timeline-and-resource-requirements"/>
    <w:p>
      <w:pPr>
        <w:pStyle w:val="Heading2"/>
      </w:pPr>
      <w:r>
        <w:t xml:space="preserve">7. Timeline and Resource Requirements</w:t>
      </w:r>
    </w:p>
    <w:p>
      <w:pPr>
        <w:pStyle w:val="FirstParagraph"/>
      </w:pPr>
      <w:r>
        <w:rPr>
          <w:bCs/>
          <w:b/>
        </w:rPr>
        <w:t xml:space="preserve">Months 1-4:</w:t>
      </w:r>
      <w:r>
        <w:t xml:space="preserve"> </w:t>
      </w:r>
      <w:r>
        <w:t xml:space="preserve">Data collection (GIS, stakeholder mapping)</w:t>
      </w:r>
      <w:r>
        <w:t xml:space="preserve"> </w:t>
      </w:r>
      <w:r>
        <w:rPr>
          <w:bCs/>
          <w:b/>
        </w:rPr>
        <w:t xml:space="preserve">Months 5-10:</w:t>
      </w:r>
      <w:r>
        <w:t xml:space="preserve"> </w:t>
      </w:r>
      <w:r>
        <w:t xml:space="preserve">Fieldwork (interviews, focus groups)</w:t>
      </w:r>
      <w:r>
        <w:t xml:space="preserve"> </w:t>
      </w:r>
      <w:r>
        <w:rPr>
          <w:bCs/>
          <w:b/>
        </w:rPr>
        <w:t xml:space="preserve">Months 11-16:</w:t>
      </w:r>
      <w:r>
        <w:t xml:space="preserve"> </w:t>
      </w:r>
      <w:r>
        <w:t xml:space="preserve">Co-design workshops and prototype development</w:t>
      </w:r>
      <w:r>
        <w:t xml:space="preserve"> </w:t>
      </w:r>
      <w:r>
        <w:rPr>
          <w:bCs/>
          <w:b/>
        </w:rPr>
        <w:t xml:space="preserve">Months 17-18:</w:t>
      </w:r>
      <w:r>
        <w:t xml:space="preserve"> </w:t>
      </w:r>
      <w:r>
        <w:t xml:space="preserve">Final analysis and policy advocacy</w:t>
      </w:r>
    </w:p>
    <w:p>
      <w:pPr>
        <w:pStyle w:val="BodyText"/>
      </w:pPr>
      <w:r>
        <w:t xml:space="preserve">Funding of $95,000 will support research officers, translation services for community engagement, GIS software licences, and stakeholder workshop costs. Partnerships with OAV and Melbourne Health will provide in-kind resources including practice access.</w:t>
      </w:r>
    </w:p>
    <w:bookmarkEnd w:id="26"/>
    <w:bookmarkStart w:id="27" w:name="conclusion"/>
    <w:p>
      <w:pPr>
        <w:pStyle w:val="Heading2"/>
      </w:pPr>
      <w:r>
        <w:t xml:space="preserve">8. Conclusion</w:t>
      </w:r>
    </w:p>
    <w:p>
      <w:pPr>
        <w:pStyle w:val="FirstParagraph"/>
      </w:pPr>
      <w:r>
        <w:t xml:space="preserve">The future of eye health in Australia Melbourne hinges on innovative optometric service delivery that responds to the city's unique demographic tapestry. This research proposal directly addresses a critical gap: transforming optometrists from clinic-based providers into proactive community health partners. By grounding our methodology in Melbourne's lived realities—from Footscray's immigrant communities to the elderly populations of Bundoora—we ensure findings are actionable within Australia's regulatory and cultural context. Success will not only improve visual outcomes for thousands of Melburnians but also establish a replicable framework for optometry excellence across Australia. As the profession continues evolving under Australian healthcare reforms, this project positions Melbourne as a national leader in equitable eye care, proving that when optometrists are strategically integrated into community health systems, vision loss becomes preventable—not inevitable.</w:t>
      </w:r>
    </w:p>
    <w:p>
      <w:pPr>
        <w:pStyle w:val="BodyText"/>
      </w:pPr>
      <w:r>
        <w:rPr>
          <w:iCs/>
          <w:i/>
        </w:rPr>
        <w:t xml:space="preserve">This proposal aligns with the Victorian Government's 2023-2030 Healthy Communities Strategy and the Australian Optometric Association's "Vision for All" initiative. It represents a timely investment in Melbourne's most valuable asset: its people, and their ability to see clearly into the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Melbourne, Australia</dc:title>
  <dc:creator/>
  <dc:language>en</dc:language>
  <cp:keywords/>
  <dcterms:created xsi:type="dcterms:W3CDTF">2026-07-19T19:20:37Z</dcterms:created>
  <dcterms:modified xsi:type="dcterms:W3CDTF">2026-07-19T19:20:37Z</dcterms:modified>
</cp:coreProperties>
</file>

<file path=docProps/custom.xml><?xml version="1.0" encoding="utf-8"?>
<Properties xmlns="http://schemas.openxmlformats.org/officeDocument/2006/custom-properties" xmlns:vt="http://schemas.openxmlformats.org/officeDocument/2006/docPropsVTypes"/>
</file>