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Optometrist</w:t>
      </w:r>
      <w:r>
        <w:t xml:space="preserve"> </w:t>
      </w:r>
      <w:r>
        <w:t xml:space="preserve">Practice</w:t>
      </w:r>
      <w:r>
        <w:t xml:space="preserve"> </w:t>
      </w:r>
      <w:r>
        <w:t xml:space="preserve">Dynamics</w:t>
      </w:r>
      <w:r>
        <w:t xml:space="preserve"> </w:t>
      </w:r>
      <w:r>
        <w:t xml:space="preserve">in</w:t>
      </w:r>
      <w:r>
        <w:t xml:space="preserve"> </w:t>
      </w:r>
      <w:r>
        <w:t xml:space="preserve">Australia</w:t>
      </w:r>
      <w:r>
        <w:t xml:space="preserve"> </w:t>
      </w:r>
      <w:r>
        <w:t xml:space="preserve">Sydney</w:t>
      </w:r>
    </w:p>
    <w:bookmarkStart w:id="32" w:name="Xbc47954cee7019355ac9c5cb4a48bba5d32c415"/>
    <w:p>
      <w:pPr>
        <w:pStyle w:val="Heading1"/>
      </w:pPr>
      <w:r>
        <w:t xml:space="preserve">Research Proposal: Advancing Optometric Care Through Community-Based Analysis in Australia Sydney</w:t>
      </w:r>
    </w:p>
    <w:bookmarkStart w:id="20" w:name="introduction-and-background"/>
    <w:p>
      <w:pPr>
        <w:pStyle w:val="Heading2"/>
      </w:pPr>
      <w:r>
        <w:t xml:space="preserve">1. Introduction and Background</w:t>
      </w:r>
    </w:p>
    <w:p>
      <w:pPr>
        <w:pStyle w:val="FirstParagraph"/>
      </w:pPr>
      <w:r>
        <w:t xml:space="preserve">The role of the</w:t>
      </w:r>
      <w:r>
        <w:t xml:space="preserve"> </w:t>
      </w:r>
      <w:r>
        <w:rPr>
          <w:bCs/>
          <w:b/>
        </w:rPr>
        <w:t xml:space="preserve">Optometrist</w:t>
      </w:r>
      <w:r>
        <w:t xml:space="preserve"> </w:t>
      </w:r>
      <w:r>
        <w:t xml:space="preserve">has evolved significantly within the Australian healthcare landscape, particularly in urban centers like Sydney. As Australia's most populous city, Sydney faces unique challenges in eye health accessibility due to its diverse demographics, geographic spread, and growing aging population. Current data indicates that over 14% of Sydney residents aged 50+ experience vision impairment (Australian Institute of Health and Welfare, 2023), yet access to timely optometric services remains uneven across suburbs. This</w:t>
      </w:r>
      <w:r>
        <w:t xml:space="preserve"> </w:t>
      </w:r>
      <w:r>
        <w:rPr>
          <w:bCs/>
          <w:b/>
        </w:rPr>
        <w:t xml:space="preserve">Research Proposal</w:t>
      </w:r>
      <w:r>
        <w:t xml:space="preserve"> </w:t>
      </w:r>
      <w:r>
        <w:t xml:space="preserve">addresses a critical gap in understanding how</w:t>
      </w:r>
      <w:r>
        <w:t xml:space="preserve"> </w:t>
      </w:r>
      <w:r>
        <w:rPr>
          <w:bCs/>
          <w:b/>
        </w:rPr>
        <w:t xml:space="preserve">Optometrist</w:t>
      </w:r>
      <w:r>
        <w:t xml:space="preserve"> </w:t>
      </w:r>
      <w:r>
        <w:t xml:space="preserve">practices operate within Sydney's complex socio-economic environment, with the goal of optimizing eye health outcomes for all Australians.</w:t>
      </w:r>
    </w:p>
    <w:bookmarkEnd w:id="20"/>
    <w:bookmarkStart w:id="21" w:name="problem-statement"/>
    <w:p>
      <w:pPr>
        <w:pStyle w:val="Heading2"/>
      </w:pPr>
      <w:r>
        <w:t xml:space="preserve">2. Problem Statement</w:t>
      </w:r>
    </w:p>
    <w:p>
      <w:pPr>
        <w:pStyle w:val="FirstParagraph"/>
      </w:pPr>
      <w:r>
        <w:t xml:space="preserve">In Australia Sydney, disparities in optometric service accessibility are stark. While metropolitan areas like inner-city Sydney boast high clinic density (15+ practices per 100,000 residents), outer suburbs such as Campbelltown and Penrith report only 4-5 practices per 100,000 people. This imbalance disproportionately affects Indigenous communities and low-income groups, who face higher rates of undiagnosed diabetic retinopathy and glaucoma. Compounding this issue, Sydney's rapid urbanization has created "optometric deserts" in emerging residential zones without coordinated service planning. The Australian Optometry Association (2023) confirms that 37% of Sydney residents in disadvantaged areas travel over 15km for routine eye care, directly correlating with delayed treatment. This</w:t>
      </w:r>
      <w:r>
        <w:t xml:space="preserve"> </w:t>
      </w:r>
      <w:r>
        <w:rPr>
          <w:bCs/>
          <w:b/>
        </w:rPr>
        <w:t xml:space="preserve">Research Proposal</w:t>
      </w:r>
      <w:r>
        <w:t xml:space="preserve"> </w:t>
      </w:r>
      <w:r>
        <w:t xml:space="preserve">seeks to quantify these inequities and develop evidence-based solutions.</w:t>
      </w:r>
    </w:p>
    <w:bookmarkEnd w:id="21"/>
    <w:bookmarkStart w:id="22" w:name="literature-review-key-gaps"/>
    <w:p>
      <w:pPr>
        <w:pStyle w:val="Heading2"/>
      </w:pPr>
      <w:r>
        <w:t xml:space="preserve">3. Literature Review (Key Gaps)</w:t>
      </w:r>
    </w:p>
    <w:p>
      <w:pPr>
        <w:pStyle w:val="FirstParagraph"/>
      </w:pPr>
      <w:r>
        <w:t xml:space="preserve">National studies like the National Eye Health Survey (AIHW, 2021) established baseline vision impairment rates but lacked granular Sydney-specific data. Most existing research focuses on clinical outcomes rather than practice dynamics. Crucially, no study has analyzed how Sydney's unique urban planning (e.g., transport networks, housing density) interacts with optometric service delivery. A 2022 University of Sydney case study highlighted that 68% of suburban clinics operate without community health partnership frameworks – a critical omission in Australia's primary care model. This research will bridge these gaps by examining the operational context of</w:t>
      </w:r>
      <w:r>
        <w:t xml:space="preserve"> </w:t>
      </w:r>
      <w:r>
        <w:rPr>
          <w:bCs/>
          <w:b/>
        </w:rPr>
        <w:t xml:space="preserve">Optometrist</w:t>
      </w:r>
      <w:r>
        <w:t xml:space="preserve"> </w:t>
      </w:r>
      <w:r>
        <w:t xml:space="preserve">practices across Sydney's Local Health Districts.</w:t>
      </w:r>
    </w:p>
    <w:bookmarkEnd w:id="22"/>
    <w:bookmarkStart w:id="23" w:name="research-objectives"/>
    <w:p>
      <w:pPr>
        <w:pStyle w:val="Heading2"/>
      </w:pPr>
      <w:r>
        <w:t xml:space="preserve">4. Research Objectives</w:t>
      </w:r>
    </w:p>
    <w:p>
      <w:pPr>
        <w:numPr>
          <w:ilvl w:val="0"/>
          <w:numId w:val="1001"/>
        </w:numPr>
        <w:pStyle w:val="Compact"/>
      </w:pPr>
      <w:r>
        <w:t xml:space="preserve">To map the spatial distribution of optometric services across all 34 Sydney Local Government Areas (LGAs), identifying underserved communities using GIS technology.</w:t>
      </w:r>
    </w:p>
    <w:p>
      <w:pPr>
        <w:numPr>
          <w:ilvl w:val="0"/>
          <w:numId w:val="1001"/>
        </w:numPr>
        <w:pStyle w:val="Compact"/>
      </w:pPr>
      <w:r>
        <w:t xml:space="preserve">To analyze how socio-economic factors (income, education, language) correlate with service utilization patterns among Sydney's diverse population.</w:t>
      </w:r>
    </w:p>
    <w:p>
      <w:pPr>
        <w:numPr>
          <w:ilvl w:val="0"/>
          <w:numId w:val="1001"/>
        </w:numPr>
        <w:pStyle w:val="Compact"/>
      </w:pPr>
      <w:r>
        <w:t xml:space="preserve">To evaluate the impact of telehealth integration on wait times and accessibility in Sydney suburban practices (2020-2024).</w:t>
      </w:r>
    </w:p>
    <w:p>
      <w:pPr>
        <w:numPr>
          <w:ilvl w:val="0"/>
          <w:numId w:val="1001"/>
        </w:numPr>
        <w:pStyle w:val="Compact"/>
      </w:pPr>
      <w:r>
        <w:t xml:space="preserve">To develop a culturally responsive community engagement framework for Australian optometric practices in Sydney.</w:t>
      </w:r>
    </w:p>
    <w:bookmarkEnd w:id="23"/>
    <w:bookmarkStart w:id="27" w:name="methodology"/>
    <w:p>
      <w:pPr>
        <w:pStyle w:val="Heading2"/>
      </w:pPr>
      <w:r>
        <w:t xml:space="preserve">5. Methodology</w:t>
      </w:r>
    </w:p>
    <w:p>
      <w:pPr>
        <w:pStyle w:val="FirstParagraph"/>
      </w:pPr>
      <w:r>
        <w:t xml:space="preserve">This mixed-methods study will employ three coordinated strands:</w:t>
      </w:r>
    </w:p>
    <w:bookmarkStart w:id="24" w:name="quantitative-component"/>
    <w:p>
      <w:pPr>
        <w:pStyle w:val="Heading3"/>
      </w:pPr>
      <w:r>
        <w:t xml:space="preserve">Quantitative Component</w:t>
      </w:r>
    </w:p>
    <w:p>
      <w:pPr>
        <w:numPr>
          <w:ilvl w:val="0"/>
          <w:numId w:val="1002"/>
        </w:numPr>
        <w:pStyle w:val="Compact"/>
      </w:pPr>
      <w:r>
        <w:rPr>
          <w:bCs/>
          <w:b/>
        </w:rPr>
        <w:t xml:space="preserve">Geospatial Analysis:</w:t>
      </w:r>
      <w:r>
        <w:t xml:space="preserve"> </w:t>
      </w:r>
      <w:r>
        <w:t xml:space="preserve">Overlaying optometric practice locations (AHPRA registry) with census data on income, age, and Indigenous population density across Sydney LGAs using ArcGIS.</w:t>
      </w:r>
    </w:p>
    <w:p>
      <w:pPr>
        <w:numPr>
          <w:ilvl w:val="0"/>
          <w:numId w:val="1002"/>
        </w:numPr>
        <w:pStyle w:val="Compact"/>
      </w:pPr>
      <w:r>
        <w:rPr>
          <w:bCs/>
          <w:b/>
        </w:rPr>
        <w:t xml:space="preserve">Service Utilization Audit:</w:t>
      </w:r>
      <w:r>
        <w:t xml:space="preserve"> </w:t>
      </w:r>
      <w:r>
        <w:t xml:space="preserve">Analyzing 12-month Medicare data from 200+ Sydney practices to measure appointment wait times and demographic service patterns.</w:t>
      </w:r>
    </w:p>
    <w:bookmarkEnd w:id="24"/>
    <w:bookmarkStart w:id="25" w:name="qualitative-component"/>
    <w:p>
      <w:pPr>
        <w:pStyle w:val="Heading3"/>
      </w:pPr>
      <w:r>
        <w:t xml:space="preserve">Qualitative Component</w:t>
      </w:r>
    </w:p>
    <w:p>
      <w:pPr>
        <w:numPr>
          <w:ilvl w:val="0"/>
          <w:numId w:val="1003"/>
        </w:numPr>
        <w:pStyle w:val="Compact"/>
      </w:pPr>
      <w:r>
        <w:rPr>
          <w:bCs/>
          <w:b/>
        </w:rPr>
        <w:t xml:space="preserve">Structured Interviews:</w:t>
      </w:r>
      <w:r>
        <w:t xml:space="preserve"> </w:t>
      </w:r>
      <w:r>
        <w:t xml:space="preserve">Conducting in-depth interviews with 40 practicing</w:t>
      </w:r>
      <w:r>
        <w:t xml:space="preserve"> </w:t>
      </w:r>
      <w:r>
        <w:rPr>
          <w:bCs/>
          <w:b/>
        </w:rPr>
        <w:t xml:space="preserve">Optometrist</w:t>
      </w:r>
      <w:r>
        <w:t xml:space="preserve">s across Sydney (20 inner-city, 15 outer suburbs, 5 Indigenous health clinics) to explore operational barriers.</w:t>
      </w:r>
    </w:p>
    <w:p>
      <w:pPr>
        <w:numPr>
          <w:ilvl w:val="0"/>
          <w:numId w:val="1003"/>
        </w:numPr>
        <w:pStyle w:val="Compact"/>
      </w:pPr>
      <w:r>
        <w:rPr>
          <w:bCs/>
          <w:b/>
        </w:rPr>
        <w:t xml:space="preserve">Focus Groups:</w:t>
      </w:r>
      <w:r>
        <w:t xml:space="preserve"> </w:t>
      </w:r>
      <w:r>
        <w:t xml:space="preserve">Organizing community sessions with residents from three high-need suburbs (e.g., Canterbury-Bankstown, Fairfield, Blacktown) to co-design solutions.</w:t>
      </w:r>
    </w:p>
    <w:bookmarkEnd w:id="25"/>
    <w:bookmarkStart w:id="26" w:name="implementation-component"/>
    <w:p>
      <w:pPr>
        <w:pStyle w:val="Heading3"/>
      </w:pPr>
      <w:r>
        <w:t xml:space="preserve">Implementation Component</w:t>
      </w:r>
    </w:p>
    <w:p>
      <w:pPr>
        <w:pStyle w:val="FirstParagraph"/>
      </w:pPr>
      <w:r>
        <w:t xml:space="preserve">A participatory action research model will collaborate with the Sydney Local Health District and Optometrists Association NSW to pilot a mobile optometry unit in one identified underserved LGA. Success metrics will include reduced wait times, increased Indigenous client uptake, and cost-benefit analysis.</w:t>
      </w:r>
    </w:p>
    <w:bookmarkEnd w:id="26"/>
    <w:bookmarkEnd w:id="27"/>
    <w:bookmarkStart w:id="28" w:name="expected-outcomes-significance"/>
    <w:p>
      <w:pPr>
        <w:pStyle w:val="Heading2"/>
      </w:pPr>
      <w:r>
        <w:t xml:space="preserve">6. Expected Outcomes &amp; Significance</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4"/>
        </w:numPr>
        <w:pStyle w:val="Compact"/>
      </w:pPr>
      <w:r>
        <w:t xml:space="preserve">A publicly accessible Sydney Optometric Service Map identifying priority areas for investment.</w:t>
      </w:r>
    </w:p>
    <w:p>
      <w:pPr>
        <w:numPr>
          <w:ilvl w:val="0"/>
          <w:numId w:val="1004"/>
        </w:numPr>
        <w:pStyle w:val="Compact"/>
      </w:pPr>
      <w:r>
        <w:t xml:space="preserve">Evidence-based policy briefs for NSW Health to guide future optometry workforce planning.</w:t>
      </w:r>
    </w:p>
    <w:p>
      <w:pPr>
        <w:numPr>
          <w:ilvl w:val="0"/>
          <w:numId w:val="1004"/>
        </w:numPr>
        <w:pStyle w:val="Compact"/>
      </w:pPr>
      <w:r>
        <w:t xml:space="preserve">A culturally validated community referral pathway framework applicable to all Australian urban centers.</w:t>
      </w:r>
    </w:p>
    <w:p>
      <w:pPr>
        <w:pStyle w:val="FirstParagraph"/>
      </w:pPr>
      <w:r>
        <w:t xml:space="preserve">The significance extends beyond Sydney: Findings will directly inform the National Eye Health Plan 2030 and support Medicare reforms prioritizing eye care accessibility. By positioning the</w:t>
      </w:r>
      <w:r>
        <w:t xml:space="preserve"> </w:t>
      </w:r>
      <w:r>
        <w:rPr>
          <w:bCs/>
          <w:b/>
        </w:rPr>
        <w:t xml:space="preserve">Optometrist</w:t>
      </w:r>
      <w:r>
        <w:t xml:space="preserve"> </w:t>
      </w:r>
      <w:r>
        <w:t xml:space="preserve">as a central figure in community health hubs (rather than isolated clinics), this research aligns with Australia's vision for integrated primary care. Crucially, it will quantify economic benefits: Every $1 invested in preventive optometric services saves $5 in downstream treatment costs (RANZCO Economic Analysis, 2022).</w:t>
      </w:r>
    </w:p>
    <w:bookmarkEnd w:id="28"/>
    <w:bookmarkStart w:id="29" w:name="timeline-resources"/>
    <w:p>
      <w:pPr>
        <w:pStyle w:val="Heading2"/>
      </w:pPr>
      <w:r>
        <w:t xml:space="preserve">7. Timeline &amp;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Spatial Data Collection &amp; Analysis</w:t>
      </w:r>
    </w:p>
    <w:p>
      <w:pPr>
        <w:pStyle w:val="BodyText"/>
      </w:pPr>
      <w:r>
        <w:t xml:space="preserve">Months 1-4</w:t>
      </w:r>
    </w:p>
    <w:p>
      <w:pPr>
        <w:pStyle w:val="BodyText"/>
      </w:pPr>
      <w:r>
        <w:t xml:space="preserve">Digital service map, disparity report (Sydney-wide)</w:t>
      </w:r>
    </w:p>
    <w:p>
      <w:pPr>
        <w:pStyle w:val="BodyText"/>
      </w:pPr>
      <w:r>
        <w:t xml:space="preserve">Clinical &amp; Community Engagement</w:t>
      </w:r>
    </w:p>
    <w:p>
      <w:pPr>
        <w:pStyle w:val="BodyText"/>
      </w:pPr>
      <w:r>
        <w:t xml:space="preserve">Months 5-8</w:t>
      </w:r>
    </w:p>
    <w:p>
      <w:pPr>
        <w:pStyle w:val="BodyText"/>
      </w:pPr>
      <w:r>
        <w:t xml:space="preserve">Interview transcripts, focus group summaries, framework draft</w:t>
      </w:r>
    </w:p>
    <w:p>
      <w:pPr>
        <w:pStyle w:val="BodyText"/>
      </w:pPr>
      <w:r>
        <w:t xml:space="preserve">Pilot Implementation &amp; Evaluation</w:t>
      </w:r>
    </w:p>
    <w:p>
      <w:pPr>
        <w:pStyle w:val="BodyText"/>
      </w:pPr>
      <w:r>
        <w:t xml:space="preserve">Months 9-12</w:t>
      </w:r>
    </w:p>
    <w:p>
      <w:pPr>
        <w:pStyle w:val="BodyText"/>
      </w:pPr>
      <w:r>
        <w:t xml:space="preserve">Mobile unit operational report, cost-benefit analysis</w:t>
      </w:r>
    </w:p>
    <w:p>
      <w:pPr>
        <w:pStyle w:val="BodyText"/>
      </w:pPr>
      <w:r>
        <w:t xml:space="preserve">Policy Integration &amp; Dissemination</w:t>
      </w:r>
    </w:p>
    <w:p>
      <w:pPr>
        <w:pStyle w:val="BodyText"/>
      </w:pPr>
      <w:r>
        <w:t xml:space="preserve">Months 13-15</w:t>
      </w:r>
    </w:p>
    <w:p>
      <w:pPr>
        <w:pStyle w:val="BodyText"/>
      </w:pPr>
      <w:r>
        <w:t xml:space="preserve">National policy briefs, practitioner toolkit, academic publications</w:t>
      </w:r>
    </w:p>
    <w:bookmarkEnd w:id="29"/>
    <w:bookmarkStart w:id="30" w:name="X41d00b291ae56a24c9eb32f21e143c38d19e825"/>
    <w:p>
      <w:pPr>
        <w:pStyle w:val="Heading2"/>
      </w:pPr>
      <w:r>
        <w:t xml:space="preserve">8. Conclusion: A Strategic Imperative for Australia Sydney</w:t>
      </w:r>
    </w:p>
    <w:p>
      <w:pPr>
        <w:pStyle w:val="FirstParagraph"/>
      </w:pPr>
      <w:r>
        <w:t xml:space="preserve">The health of Australia's eyesight is inseparable from the strategic deployment of its optometric workforce. This comprehensive</w:t>
      </w:r>
      <w:r>
        <w:t xml:space="preserve"> </w:t>
      </w:r>
      <w:r>
        <w:rPr>
          <w:bCs/>
          <w:b/>
        </w:rPr>
        <w:t xml:space="preserve">Research Proposal</w:t>
      </w:r>
      <w:r>
        <w:t xml:space="preserve"> </w:t>
      </w:r>
      <w:r>
        <w:t xml:space="preserve">provides a roadmap to transform how the</w:t>
      </w:r>
      <w:r>
        <w:t xml:space="preserve"> </w:t>
      </w:r>
      <w:r>
        <w:rPr>
          <w:bCs/>
          <w:b/>
        </w:rPr>
        <w:t xml:space="preserve">Optometrist</w:t>
      </w:r>
      <w:r>
        <w:t xml:space="preserve"> </w:t>
      </w:r>
      <w:r>
        <w:t xml:space="preserve">operates within Sydney's urban ecosystem – moving beyond clinical care to become a catalyst for equitable community health. As Sydney continues its demographic transformation, this research will generate actionable intelligence that directly supports the NSW Government's Health 2030 Strategy and Australia's commitment to closing the gap in Indigenous eye health. By anchoring our investigation firmly within Sydney's unique context – from its coastal suburbs to inner-city enclaves – we ensure findings are both locally relevant and nationally replicable. The proposed study represents a pivotal step toward making high-quality eye care an accessible right, not a privilege, for every resident of Australia Sydney.</w:t>
      </w:r>
    </w:p>
    <w:bookmarkEnd w:id="30"/>
    <w:bookmarkStart w:id="31" w:name="word-count-847"/>
    <w:p>
      <w:pPr>
        <w:pStyle w:val="Heading2"/>
      </w:pPr>
      <w: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Optometrist Practice Dynamics in Australia Sydney</dc:title>
  <dc:creator/>
  <dc:language>en</dc:language>
  <cp:keywords/>
  <dcterms:created xsi:type="dcterms:W3CDTF">2026-07-21T12:13:09Z</dcterms:created>
  <dcterms:modified xsi:type="dcterms:W3CDTF">2026-07-21T12:13:09Z</dcterms:modified>
</cp:coreProperties>
</file>

<file path=docProps/custom.xml><?xml version="1.0" encoding="utf-8"?>
<Properties xmlns="http://schemas.openxmlformats.org/officeDocument/2006/custom-properties" xmlns:vt="http://schemas.openxmlformats.org/officeDocument/2006/docPropsVTypes"/>
</file>