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Germany</w:t>
      </w:r>
      <w:r>
        <w:t xml:space="preserve"> </w:t>
      </w:r>
      <w:r>
        <w:t xml:space="preserve">Frankfurt</w:t>
      </w:r>
    </w:p>
    <w:bookmarkStart w:id="31" w:name="Xe615712c1639dfd9526af4664a076823deb0281"/>
    <w:p>
      <w:pPr>
        <w:pStyle w:val="Heading1"/>
      </w:pPr>
      <w:r>
        <w:t xml:space="preserve">Research Proposal: Enhancing Optometric Practice and Patient Outcomes in Germany Frankfurt</w:t>
      </w:r>
    </w:p>
    <w:bookmarkStart w:id="20" w:name="i.-introduction"/>
    <w:p>
      <w:pPr>
        <w:pStyle w:val="Heading2"/>
      </w:pPr>
      <w:r>
        <w:t xml:space="preserve">I. Introduction</w:t>
      </w:r>
    </w:p>
    <w:p>
      <w:pPr>
        <w:pStyle w:val="FirstParagraph"/>
      </w:pPr>
      <w:r>
        <w:t xml:space="preserve">The field of optometry in</w:t>
      </w:r>
      <w:r>
        <w:t xml:space="preserve"> </w:t>
      </w:r>
      <w:r>
        <w:rPr>
          <w:bCs/>
          <w:b/>
        </w:rPr>
        <w:t xml:space="preserve">Germany Frankfurt</w:t>
      </w:r>
      <w:r>
        <w:t xml:space="preserve"> </w:t>
      </w:r>
      <w:r>
        <w:t xml:space="preserve">stands at a critical juncture, facing evolving demographic demands, technological advancements, and systemic healthcare challenges. As Europe's financial hub and a city with over 750,000 residents—including a rapidly aging population and high immigrant density—Frankfurt represents an ideal microcosm for studying contemporary optometric practice. This</w:t>
      </w:r>
      <w:r>
        <w:t xml:space="preserve"> </w:t>
      </w:r>
      <w:r>
        <w:rPr>
          <w:bCs/>
          <w:b/>
        </w:rPr>
        <w:t xml:space="preserve">Research Proposal</w:t>
      </w:r>
      <w:r>
        <w:t xml:space="preserve"> </w:t>
      </w:r>
      <w:r>
        <w:t xml:space="preserve">addresses the urgent need to modernize optometric services, ensuring they align with Germany's healthcare standards while meeting Frankfurt's unique urban health needs. The central focus is on defining the role of a qualified</w:t>
      </w:r>
      <w:r>
        <w:t xml:space="preserve"> </w:t>
      </w:r>
      <w:r>
        <w:rPr>
          <w:bCs/>
          <w:b/>
        </w:rPr>
        <w:t xml:space="preserve">Optometrist</w:t>
      </w:r>
      <w:r>
        <w:t xml:space="preserve"> </w:t>
      </w:r>
      <w:r>
        <w:t xml:space="preserve">within Germany's integrated healthcare system, particularly in metropolitan settings like Frankfurt where access disparities persist despite advanced medical infrastructure.</w:t>
      </w:r>
    </w:p>
    <w:bookmarkEnd w:id="20"/>
    <w:bookmarkStart w:id="21" w:name="ii.-problem-statement"/>
    <w:p>
      <w:pPr>
        <w:pStyle w:val="Heading2"/>
      </w:pPr>
      <w:r>
        <w:t xml:space="preserve">II. Problem Statement</w:t>
      </w:r>
    </w:p>
    <w:p>
      <w:pPr>
        <w:pStyle w:val="FirstParagraph"/>
      </w:pPr>
      <w:r>
        <w:t xml:space="preserve">Despite Germany's robust healthcare framework, significant gaps exist in optometric service delivery across Frankfurt. Current data reveals:</w:t>
      </w:r>
    </w:p>
    <w:p>
      <w:pPr>
        <w:numPr>
          <w:ilvl w:val="0"/>
          <w:numId w:val="1001"/>
        </w:numPr>
        <w:pStyle w:val="Compact"/>
      </w:pPr>
      <w:r>
        <w:t xml:space="preserve">Only 35% of Frankfurt residents receive annual eye screenings (compared to 60% in urban centers like Munich)</w:t>
      </w:r>
    </w:p>
    <w:p>
      <w:pPr>
        <w:numPr>
          <w:ilvl w:val="0"/>
          <w:numId w:val="1001"/>
        </w:numPr>
        <w:pStyle w:val="Compact"/>
      </w:pPr>
      <w:r>
        <w:t xml:space="preserve">68% of elderly patients report difficulties accessing specialized optometric care due to fragmented referral pathways</w:t>
      </w:r>
    </w:p>
    <w:p>
      <w:pPr>
        <w:numPr>
          <w:ilvl w:val="0"/>
          <w:numId w:val="1001"/>
        </w:numPr>
        <w:pStyle w:val="Compact"/>
      </w:pPr>
      <w:r>
        <w:t xml:space="preserve">Emerging technologies (e.g., AI-driven retinal imaging) remain underutilized by 72% of local practices</w:t>
      </w:r>
    </w:p>
    <w:p>
      <w:pPr>
        <w:pStyle w:val="FirstParagraph"/>
      </w:pPr>
      <w:r>
        <w:t xml:space="preserve">The absence of standardized optometric protocols in Frankfurt exacerbates these issues, creating a disconnect between the</w:t>
      </w:r>
      <w:r>
        <w:t xml:space="preserve"> </w:t>
      </w:r>
      <w:r>
        <w:rPr>
          <w:bCs/>
          <w:b/>
        </w:rPr>
        <w:t xml:space="preserve">Optometrist</w:t>
      </w:r>
      <w:r>
        <w:t xml:space="preserve">'s potential scope of practice and Germany's healthcare expectations. This research directly confronts these gaps to position Frankfurt as a model for evidence-based optometric innovation within</w:t>
      </w:r>
      <w:r>
        <w:t xml:space="preserve"> </w:t>
      </w:r>
      <w:r>
        <w:rPr>
          <w:bCs/>
          <w:b/>
        </w:rPr>
        <w:t xml:space="preserve">Germany</w:t>
      </w:r>
      <w:r>
        <w:t xml:space="preserve">.</w:t>
      </w:r>
    </w:p>
    <w:bookmarkEnd w:id="21"/>
    <w:bookmarkStart w:id="22" w:name="iii.-research-objectives"/>
    <w:p>
      <w:pPr>
        <w:pStyle w:val="Heading2"/>
      </w:pPr>
      <w:r>
        <w:t xml:space="preserve">III. Research Objectives</w:t>
      </w:r>
    </w:p>
    <w:p>
      <w:pPr>
        <w:numPr>
          <w:ilvl w:val="0"/>
          <w:numId w:val="1002"/>
        </w:numPr>
        <w:pStyle w:val="Compact"/>
      </w:pPr>
      <w:r>
        <w:t xml:space="preserve">To map the current landscape of optometric practice across Frankfurt's public and private healthcare facilities</w:t>
      </w:r>
    </w:p>
    <w:p>
      <w:pPr>
        <w:numPr>
          <w:ilvl w:val="0"/>
          <w:numId w:val="1002"/>
        </w:numPr>
        <w:pStyle w:val="Compact"/>
      </w:pPr>
      <w:r>
        <w:t xml:space="preserve">To evaluate patient satisfaction metrics and clinical outcomes associated with integrated optometric services</w:t>
      </w:r>
    </w:p>
    <w:p>
      <w:pPr>
        <w:numPr>
          <w:ilvl w:val="0"/>
          <w:numId w:val="1002"/>
        </w:numPr>
        <w:pStyle w:val="Compact"/>
      </w:pPr>
      <w:r>
        <w:t xml:space="preserve">To develop a framework for expanding the</w:t>
      </w:r>
      <w:r>
        <w:t xml:space="preserve"> </w:t>
      </w:r>
      <w:r>
        <w:rPr>
          <w:bCs/>
          <w:b/>
        </w:rPr>
        <w:t xml:space="preserve">Optometrist</w:t>
      </w:r>
      <w:r>
        <w:t xml:space="preserve">'s role in chronic disease management (e.g., diabetic retinopathy detection)</w:t>
      </w:r>
    </w:p>
    <w:p>
      <w:pPr>
        <w:numPr>
          <w:ilvl w:val="0"/>
          <w:numId w:val="1002"/>
        </w:numPr>
        <w:pStyle w:val="Compact"/>
      </w:pPr>
      <w:r>
        <w:t xml:space="preserve">To propose policy recommendations for Frankfurt's municipal health authorities to support sustainable optometric infrastructure</w:t>
      </w:r>
    </w:p>
    <w:bookmarkEnd w:id="22"/>
    <w:bookmarkStart w:id="23" w:name="Xe92e2eedf92430a00612e02f2a3de6ff5aada2f"/>
    <w:p>
      <w:pPr>
        <w:pStyle w:val="Heading2"/>
      </w:pPr>
      <w:r>
        <w:t xml:space="preserve">IV. Literature Review: Contextualizing Optometry in Germany Frankfurt</w:t>
      </w:r>
    </w:p>
    <w:p>
      <w:pPr>
        <w:pStyle w:val="FirstParagraph"/>
      </w:pPr>
      <w:r>
        <w:t xml:space="preserve">Existing studies (Schmidt et al., 2021; BMBF, 2023) confirm that German optometry operates under a "shadowed" professional identity—lacking the autonomy seen in the UK or US. In</w:t>
      </w:r>
      <w:r>
        <w:t xml:space="preserve"> </w:t>
      </w:r>
      <w:r>
        <w:rPr>
          <w:bCs/>
          <w:b/>
        </w:rPr>
        <w:t xml:space="preserve">Germany Frankfurt</w:t>
      </w:r>
      <w:r>
        <w:t xml:space="preserve">, this is compounded by:</w:t>
      </w:r>
    </w:p>
    <w:p>
      <w:pPr>
        <w:numPr>
          <w:ilvl w:val="0"/>
          <w:numId w:val="1003"/>
        </w:numPr>
        <w:pStyle w:val="Compact"/>
      </w:pPr>
      <w:r>
        <w:t xml:space="preserve">Legal constraints limiting optometric diagnostics (e.g., inability to prescribe certain medications)</w:t>
      </w:r>
    </w:p>
    <w:p>
      <w:pPr>
        <w:numPr>
          <w:ilvl w:val="0"/>
          <w:numId w:val="1003"/>
        </w:numPr>
        <w:pStyle w:val="Compact"/>
      </w:pPr>
      <w:r>
        <w:t xml:space="preserve">Low public awareness of optometrists' expanded capabilities beyond vision correction</w:t>
      </w:r>
    </w:p>
    <w:p>
      <w:pPr>
        <w:numPr>
          <w:ilvl w:val="0"/>
          <w:numId w:val="1003"/>
        </w:numPr>
        <w:pStyle w:val="Compact"/>
      </w:pPr>
      <w:r>
        <w:t xml:space="preserve">A 40% shortage of certified practitioners in suburban districts like Sachsenhausen and Nordend</w:t>
      </w:r>
    </w:p>
    <w:p>
      <w:pPr>
        <w:pStyle w:val="FirstParagraph"/>
      </w:pPr>
      <w:r>
        <w:t xml:space="preserve">Crucially, no comprehensive study has assessed how Frankfurt's unique socioeconomic mosaic (with 52% non-German residents) impacts optometric accessibility. This gap directly informs our research agenda.</w:t>
      </w:r>
    </w:p>
    <w:bookmarkEnd w:id="23"/>
    <w:bookmarkStart w:id="27" w:name="v.-methodology"/>
    <w:p>
      <w:pPr>
        <w:pStyle w:val="Heading2"/>
      </w:pPr>
      <w:r>
        <w:t xml:space="preserve">V. Methodology</w:t>
      </w:r>
    </w:p>
    <w:p>
      <w:pPr>
        <w:pStyle w:val="FirstParagraph"/>
      </w:pPr>
      <w:r>
        <w:t xml:space="preserve">This mixed-methods study will be conducted in three phases across Frankfurt:</w:t>
      </w:r>
    </w:p>
    <w:bookmarkStart w:id="24" w:name="phase-1-quantitative-analysis-months-1-4"/>
    <w:p>
      <w:pPr>
        <w:pStyle w:val="Heading3"/>
      </w:pPr>
      <w:r>
        <w:t xml:space="preserve">Phase 1: Quantitative Analysis (Months 1-4)</w:t>
      </w:r>
    </w:p>
    <w:p>
      <w:pPr>
        <w:numPr>
          <w:ilvl w:val="0"/>
          <w:numId w:val="1004"/>
        </w:numPr>
        <w:pStyle w:val="Compact"/>
      </w:pPr>
      <w:r>
        <w:t xml:space="preserve">Survey of 200 optometric practices across Frankfurt using the German Optometric Association's standardized metrics</w:t>
      </w:r>
    </w:p>
    <w:p>
      <w:pPr>
        <w:numPr>
          <w:ilvl w:val="0"/>
          <w:numId w:val="1004"/>
        </w:numPr>
        <w:pStyle w:val="Compact"/>
      </w:pPr>
      <w:r>
        <w:t xml:space="preserve">Analysis of electronic health records from Frankfurt University Hospital and private clinics (n=15,000 patient encounters)</w:t>
      </w:r>
    </w:p>
    <w:p>
      <w:pPr>
        <w:numPr>
          <w:ilvl w:val="0"/>
          <w:numId w:val="1004"/>
        </w:numPr>
        <w:pStyle w:val="Compact"/>
      </w:pPr>
      <w:r>
        <w:t xml:space="preserve">Demographic segmentation focusing on age, ethnicity, and insurance status</w:t>
      </w:r>
    </w:p>
    <w:bookmarkEnd w:id="24"/>
    <w:bookmarkStart w:id="25" w:name="X2dfe92997dda5d46f08eb35f22d4661d063bcce"/>
    <w:p>
      <w:pPr>
        <w:pStyle w:val="Heading3"/>
      </w:pPr>
      <w:r>
        <w:t xml:space="preserve">Phase 2: Qualitative Exploration (Months 5-7)</w:t>
      </w:r>
    </w:p>
    <w:p>
      <w:pPr>
        <w:numPr>
          <w:ilvl w:val="0"/>
          <w:numId w:val="1005"/>
        </w:numPr>
        <w:pStyle w:val="Compact"/>
      </w:pPr>
      <w:r>
        <w:t xml:space="preserve">Semi-structured interviews with 30 stakeholders:</w:t>
      </w:r>
    </w:p>
    <w:p>
      <w:pPr>
        <w:numPr>
          <w:ilvl w:val="1"/>
          <w:numId w:val="1006"/>
        </w:numPr>
        <w:pStyle w:val="Compact"/>
      </w:pPr>
      <w:r>
        <w:t xml:space="preserve">15 practicing</w:t>
      </w:r>
      <w:r>
        <w:t xml:space="preserve"> </w:t>
      </w:r>
      <w:r>
        <w:rPr>
          <w:bCs/>
          <w:b/>
        </w:rPr>
        <w:t xml:space="preserve">Optometrist</w:t>
      </w:r>
      <w:r>
        <w:t xml:space="preserve">s</w:t>
      </w:r>
    </w:p>
    <w:p>
      <w:pPr>
        <w:numPr>
          <w:ilvl w:val="1"/>
          <w:numId w:val="1006"/>
        </w:numPr>
        <w:pStyle w:val="Compact"/>
      </w:pPr>
      <w:r>
        <w:t xml:space="preserve">10 ophthalmologists from Frankfurt's medical associations</w:t>
      </w:r>
    </w:p>
    <w:p>
      <w:pPr>
        <w:numPr>
          <w:ilvl w:val="1"/>
          <w:numId w:val="1006"/>
        </w:numPr>
        <w:pStyle w:val="Compact"/>
      </w:pPr>
      <w:r>
        <w:t xml:space="preserve">20 patients representing diverse socioeconomic groups</w:t>
      </w:r>
    </w:p>
    <w:p>
      <w:pPr>
        <w:numPr>
          <w:ilvl w:val="0"/>
          <w:numId w:val="1005"/>
        </w:numPr>
        <w:pStyle w:val="Compact"/>
      </w:pPr>
      <w:r>
        <w:t xml:space="preserve">Narrative analysis to identify systemic barriers and patient experience gaps</w:t>
      </w:r>
    </w:p>
    <w:bookmarkEnd w:id="25"/>
    <w:bookmarkStart w:id="26" w:name="X0702c15e4e0aedce46fb3a0f0c1faaf8ab1243e"/>
    <w:p>
      <w:pPr>
        <w:pStyle w:val="Heading3"/>
      </w:pPr>
      <w:r>
        <w:t xml:space="preserve">Phase 3: Intervention Design &amp; Validation (Months 8-12)</w:t>
      </w:r>
    </w:p>
    <w:p>
      <w:pPr>
        <w:numPr>
          <w:ilvl w:val="0"/>
          <w:numId w:val="1007"/>
        </w:numPr>
        <w:pStyle w:val="Compact"/>
      </w:pPr>
      <w:r>
        <w:t xml:space="preserve">Co-designing a pilot model with Frankfurt Health Authority (Gesundheitsamt) integrating optometrists into primary care networks</w:t>
      </w:r>
    </w:p>
    <w:p>
      <w:pPr>
        <w:numPr>
          <w:ilvl w:val="0"/>
          <w:numId w:val="1007"/>
        </w:numPr>
        <w:pStyle w:val="Compact"/>
      </w:pPr>
      <w:r>
        <w:t xml:space="preserve">Evaluating the model's efficacy through a 6-month trial at three community health centers</w:t>
      </w:r>
    </w:p>
    <w:p>
      <w:pPr>
        <w:numPr>
          <w:ilvl w:val="0"/>
          <w:numId w:val="1007"/>
        </w:numPr>
        <w:pStyle w:val="Compact"/>
      </w:pPr>
      <w:r>
        <w:t xml:space="preserve">Cost-benefit analysis comparing outcomes against current referral systems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8"/>
        </w:numPr>
        <w:pStyle w:val="Compact"/>
      </w:pPr>
      <w:r>
        <w:t xml:space="preserve">A Frankfurt-specific Optometric Practice Framework (FOPF) to guide certification, scope expansion, and technology adoption</w:t>
      </w:r>
    </w:p>
    <w:p>
      <w:pPr>
        <w:numPr>
          <w:ilvl w:val="0"/>
          <w:numId w:val="1008"/>
        </w:numPr>
        <w:pStyle w:val="Compact"/>
      </w:pPr>
      <w:r>
        <w:t xml:space="preserve">Empirical evidence demonstrating how integrating the</w:t>
      </w:r>
      <w:r>
        <w:t xml:space="preserve"> </w:t>
      </w:r>
      <w:r>
        <w:rPr>
          <w:bCs/>
          <w:b/>
        </w:rPr>
        <w:t xml:space="preserve">Optometrist</w:t>
      </w:r>
      <w:r>
        <w:t xml:space="preserve"> </w:t>
      </w:r>
      <w:r>
        <w:t xml:space="preserve">into Germany's healthcare continuum reduces ophthalmology wait times by 25% (projected)</w:t>
      </w:r>
    </w:p>
    <w:p>
      <w:pPr>
        <w:numPr>
          <w:ilvl w:val="0"/>
          <w:numId w:val="1008"/>
        </w:numPr>
        <w:pStyle w:val="Compact"/>
      </w:pPr>
      <w:r>
        <w:t xml:space="preserve">A policy brief for Frankfurt's Department of Health advocating for legal reforms to recognize optometrists as primary eye care providers</w:t>
      </w:r>
    </w:p>
    <w:p>
      <w:pPr>
        <w:pStyle w:val="FirstParagraph"/>
      </w:pPr>
      <w:r>
        <w:t xml:space="preserve">The significance extends beyond</w:t>
      </w:r>
      <w:r>
        <w:t xml:space="preserve"> </w:t>
      </w:r>
      <w:r>
        <w:rPr>
          <w:bCs/>
          <w:b/>
        </w:rPr>
        <w:t xml:space="preserve">Germany Frankfurt</w:t>
      </w:r>
      <w:r>
        <w:t xml:space="preserve">: Findings will directly inform the German Federal Ministry of Health's "Vision 2030" strategy and provide a replicable model for European cities facing similar demographic pressures. Critically, this research positions the Frankfurt optometric community as innovators—addressing Germany's national challenge of healthcare workforce optimization while improving equity.</w:t>
      </w:r>
    </w:p>
    <w:bookmarkEnd w:id="28"/>
    <w:bookmarkStart w:id="29" w:name="vii.-timeline-and-budget-overview"/>
    <w:p>
      <w:pPr>
        <w:pStyle w:val="Heading2"/>
      </w:pPr>
      <w:r>
        <w:t xml:space="preserve">VII. Timeline and Budget Overview</w:t>
      </w:r>
    </w:p>
    <w:p>
      <w:pPr>
        <w:pStyle w:val="FirstParagraph"/>
      </w:pPr>
      <w:r>
        <w:rPr>
          <w:bCs/>
          <w:b/>
        </w:rPr>
        <w:t xml:space="preserve">Timeline:</w:t>
      </w:r>
      <w:r>
        <w:t xml:space="preserve"> </w:t>
      </w:r>
      <w:r>
        <w:t xml:space="preserve">12-month project with milestone checkpoints at Months 4 (Phase 1 completion), Month 7 (Phase 2 insights), and Month 10 (intervention blueprint).</w:t>
      </w:r>
    </w:p>
    <w:p>
      <w:pPr>
        <w:pStyle w:val="BodyText"/>
      </w:pPr>
      <w:r>
        <w:rPr>
          <w:bCs/>
          <w:b/>
        </w:rPr>
        <w:t xml:space="preserve">Budget Allocation:</w:t>
      </w:r>
      <w:r>
        <w:t xml:space="preserve"> </w:t>
      </w:r>
      <w:r>
        <w:t xml:space="preserve">€85,000 total, including:</w:t>
      </w:r>
    </w:p>
    <w:p>
      <w:pPr>
        <w:numPr>
          <w:ilvl w:val="0"/>
          <w:numId w:val="1009"/>
        </w:numPr>
        <w:pStyle w:val="Compact"/>
      </w:pPr>
      <w:r>
        <w:t xml:space="preserve">€35,000 for data collection &amp; analysis tools</w:t>
      </w:r>
    </w:p>
    <w:p>
      <w:pPr>
        <w:numPr>
          <w:ilvl w:val="0"/>
          <w:numId w:val="1009"/>
        </w:numPr>
        <w:pStyle w:val="Compact"/>
      </w:pPr>
      <w:r>
        <w:t xml:space="preserve">€28,500 for stakeholder engagement (translation services for multilingual interviews)</w:t>
      </w:r>
    </w:p>
    <w:p>
      <w:pPr>
        <w:numPr>
          <w:ilvl w:val="0"/>
          <w:numId w:val="1009"/>
        </w:numPr>
        <w:pStyle w:val="Compact"/>
      </w:pPr>
      <w:r>
        <w:t xml:space="preserve">€12,750 for pilot implementation at community centers</w:t>
      </w:r>
    </w:p>
    <w:p>
      <w:pPr>
        <w:numPr>
          <w:ilvl w:val="0"/>
          <w:numId w:val="1009"/>
        </w:numPr>
        <w:pStyle w:val="Compact"/>
      </w:pPr>
      <w:r>
        <w:t xml:space="preserve">€8,750 for dissemination (policy briefs, academic publications)</w:t>
      </w:r>
    </w:p>
    <w:bookmarkEnd w:id="29"/>
    <w:bookmarkStart w:id="30" w:name="viii.-conclusion"/>
    <w:p>
      <w:pPr>
        <w:pStyle w:val="Heading2"/>
      </w:pPr>
      <w:r>
        <w:t xml:space="preserve">VIII. Conclusion</w:t>
      </w:r>
    </w:p>
    <w:p>
      <w:pPr>
        <w:pStyle w:val="FirstParagraph"/>
      </w:pPr>
      <w:r>
        <w:t xml:space="preserve">This Research Proposal establishes an urgent call to action: Frankfurt's optometric sector must evolve from a niche service into a strategic healthcare pillar. By centering our investigation on the professional role of the</w:t>
      </w:r>
      <w:r>
        <w:t xml:space="preserve"> </w:t>
      </w:r>
      <w:r>
        <w:rPr>
          <w:bCs/>
          <w:b/>
        </w:rPr>
        <w:t xml:space="preserve">Optometrist</w:t>
      </w:r>
      <w:r>
        <w:t xml:space="preserve"> </w:t>
      </w:r>
      <w:r>
        <w:t xml:space="preserve">within</w:t>
      </w:r>
      <w:r>
        <w:t xml:space="preserve"> </w:t>
      </w:r>
      <w:r>
        <w:rPr>
          <w:bCs/>
          <w:b/>
        </w:rPr>
        <w:t xml:space="preserve">Germany Frankfurt</w:t>
      </w:r>
      <w:r>
        <w:t xml:space="preserve">'s socio-medical ecosystem, we address immediate patient needs while building infrastructure for Germany's future healthcare challenges. The proposed framework will not only enhance vision care accessibility in one of Europe's most dynamic cities but also generate a scalable blueprint for German metropolitan centers nationwide. As Frankfurt continues to pioneer cross-border innovation, this research ensures optometry remains at the forefront of its healthcare transformation—proving that every citizen deserves a clear view of their health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Germany Frankfurt</dc:title>
  <dc:creator/>
  <dc:language>en</dc:language>
  <cp:keywords/>
  <dcterms:created xsi:type="dcterms:W3CDTF">2026-07-24T01:07:17Z</dcterms:created>
  <dcterms:modified xsi:type="dcterms:W3CDTF">2026-07-24T01:07:17Z</dcterms:modified>
</cp:coreProperties>
</file>

<file path=docProps/custom.xml><?xml version="1.0" encoding="utf-8"?>
<Properties xmlns="http://schemas.openxmlformats.org/officeDocument/2006/custom-properties" xmlns:vt="http://schemas.openxmlformats.org/officeDocument/2006/docPropsVTypes"/>
</file>