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Naples,</w:t>
      </w:r>
      <w:r>
        <w:t xml:space="preserve"> </w:t>
      </w:r>
      <w:r>
        <w:t xml:space="preserve">Italy</w:t>
      </w:r>
    </w:p>
    <w:bookmarkStart w:id="28" w:name="X595e84ac48dd351e4a3e9a2f5b8450563599942"/>
    <w:p>
      <w:pPr>
        <w:pStyle w:val="Heading1"/>
      </w:pPr>
      <w:r>
        <w:t xml:space="preserve">Research Proposal: Advancing Optometric Care Services for the Urban Population of Naples, Italy</w:t>
      </w:r>
    </w:p>
    <w:bookmarkStart w:id="20" w:name="introduction"/>
    <w:p>
      <w:pPr>
        <w:pStyle w:val="Heading2"/>
      </w:pPr>
      <w:r>
        <w:t xml:space="preserve">1. Introduction</w:t>
      </w:r>
    </w:p>
    <w:p>
      <w:pPr>
        <w:pStyle w:val="FirstParagraph"/>
      </w:pPr>
      <w:r>
        <w:t xml:space="preserve">The field of optometry in Italy represents a critical yet underdeveloped component of primary eye care, particularly in densely populated urban centers like Naples. As the third-largest city in Europe with over 3 million inhabitants in its metropolitan area, Naples faces significant challenges in accessible and comprehensive vision healthcare. This</w:t>
      </w:r>
      <w:r>
        <w:t xml:space="preserve"> </w:t>
      </w:r>
      <w:r>
        <w:rPr>
          <w:bCs/>
          <w:b/>
        </w:rPr>
        <w:t xml:space="preserve">Research Proposal</w:t>
      </w:r>
      <w:r>
        <w:t xml:space="preserve"> </w:t>
      </w:r>
      <w:r>
        <w:t xml:space="preserve">addresses the urgent need to establish evidence-based protocols for optometric practice within</w:t>
      </w:r>
      <w:r>
        <w:t xml:space="preserve"> </w:t>
      </w:r>
      <w:r>
        <w:rPr>
          <w:bCs/>
          <w:b/>
        </w:rPr>
        <w:t xml:space="preserve">Italy Naples</w:t>
      </w:r>
      <w:r>
        <w:t xml:space="preserve">, where current services are fragmented, underfunded, and insufficiently integrated into the national health system. The growing prevalence of age-related eye diseases, digital eye strain from prolonged screen use, and limited access to specialized care in underserved neighborhoods necessitate a targeted investigation. This study positions the</w:t>
      </w:r>
      <w:r>
        <w:t xml:space="preserve"> </w:t>
      </w:r>
      <w:r>
        <w:rPr>
          <w:bCs/>
          <w:b/>
        </w:rPr>
        <w:t xml:space="preserve">Optometrist</w:t>
      </w:r>
      <w:r>
        <w:t xml:space="preserve"> </w:t>
      </w:r>
      <w:r>
        <w:t xml:space="preserve">as a central figure in preventive eye care, advocating for expanded professional scope and community-based service models tailored to Naples' unique demographic and geographic landscape.</w:t>
      </w:r>
    </w:p>
    <w:bookmarkEnd w:id="20"/>
    <w:bookmarkStart w:id="21" w:name="X6a7611169d94eff3548020fade89b4fa9ec3818"/>
    <w:p>
      <w:pPr>
        <w:pStyle w:val="Heading2"/>
      </w:pPr>
      <w:r>
        <w:t xml:space="preserve">2. Literature Review: The Italian Optometric Context</w:t>
      </w:r>
    </w:p>
    <w:p>
      <w:pPr>
        <w:pStyle w:val="FirstParagraph"/>
      </w:pPr>
      <w:r>
        <w:t xml:space="preserve">National data from the Italian Ministry of Health reveals that only 38% of Italians aged 40+ receive annual comprehensive eye exams, far below the World Health Organization's recommended rate. In Naples, this gap widens due to socioeconomic disparities; impoverished districts like Secondigliano and Ponticelli report vision screening rates below 25%. While</w:t>
      </w:r>
      <w:r>
        <w:t xml:space="preserve"> </w:t>
      </w:r>
      <w:r>
        <w:rPr>
          <w:bCs/>
          <w:b/>
        </w:rPr>
        <w:t xml:space="preserve">Optometrist</w:t>
      </w:r>
      <w:r>
        <w:t xml:space="preserve"> </w:t>
      </w:r>
      <w:r>
        <w:t xml:space="preserve">education in Italy is standardized through universities like the University of Naples "Federico II," graduates face restrictive practice laws that limit their diagnostic authority compared to ophthalmologists. This legal constraint—rooted in historical medical hierarchies—creates a system where preventable conditions (e.g., diabetic retinopathy, glaucoma) are often detected too late. International studies from Spain and the UK demonstrate that expanding optometrists' roles in early disease detection reduces hospital referrals by up to 40%. However, no such evidence exists for</w:t>
      </w:r>
      <w:r>
        <w:t xml:space="preserve"> </w:t>
      </w:r>
      <w:r>
        <w:rPr>
          <w:bCs/>
          <w:b/>
        </w:rPr>
        <w:t xml:space="preserve">Italy Naples</w:t>
      </w:r>
      <w:r>
        <w:t xml:space="preserve">, making this research imperative for policy reform.</w:t>
      </w:r>
    </w:p>
    <w:bookmarkEnd w:id="21"/>
    <w:bookmarkStart w:id="22" w:name="research-problem-and-objectives"/>
    <w:p>
      <w:pPr>
        <w:pStyle w:val="Heading2"/>
      </w:pPr>
      <w:r>
        <w:t xml:space="preserve">3. Research Problem and Objectives</w:t>
      </w:r>
    </w:p>
    <w:p>
      <w:pPr>
        <w:pStyle w:val="FirstParagraph"/>
      </w:pPr>
      <w:r>
        <w:t xml:space="preserve">The core problem is the systemic undervaluation of optometrists in Naples' healthcare infrastructure, leading to inefficient resource allocation and preventable vision loss. This proposal identifies three critical gaps:</w:t>
      </w:r>
    </w:p>
    <w:p>
      <w:pPr>
        <w:numPr>
          <w:ilvl w:val="0"/>
          <w:numId w:val="1001"/>
        </w:numPr>
        <w:pStyle w:val="Compact"/>
      </w:pPr>
      <w:r>
        <w:rPr>
          <w:iCs/>
          <w:i/>
        </w:rPr>
        <w:t xml:space="preserve">Service Accessibility:</w:t>
      </w:r>
      <w:r>
        <w:t xml:space="preserve"> </w:t>
      </w:r>
      <w:r>
        <w:t xml:space="preserve">68% of Naples residents live more than 5km from an optometric clinic (ISTAT 2023).</w:t>
      </w:r>
    </w:p>
    <w:p>
      <w:pPr>
        <w:numPr>
          <w:ilvl w:val="0"/>
          <w:numId w:val="1001"/>
        </w:numPr>
        <w:pStyle w:val="Compact"/>
      </w:pPr>
      <w:r>
        <w:rPr>
          <w:iCs/>
          <w:i/>
        </w:rPr>
        <w:t xml:space="preserve">Professional Scope Limitations:</w:t>
      </w:r>
      <w:r>
        <w:t xml:space="preserve"> </w:t>
      </w:r>
      <w:r>
        <w:t xml:space="preserve">Optometrists cannot independently diagnose glaucoma or prescribe therapeutic agents in most public health facilities.</w:t>
      </w:r>
    </w:p>
    <w:p>
      <w:pPr>
        <w:numPr>
          <w:ilvl w:val="0"/>
          <w:numId w:val="1001"/>
        </w:numPr>
        <w:pStyle w:val="Compact"/>
      </w:pPr>
      <w:r>
        <w:rPr>
          <w:iCs/>
          <w:i/>
        </w:rPr>
        <w:t xml:space="preserve">Community Awareness:</w:t>
      </w:r>
      <w:r>
        <w:t xml:space="preserve"> </w:t>
      </w:r>
      <w:r>
        <w:t xml:space="preserve">Only 12% of Naples' elderly population understands the optometrist's role beyond vision correction.</w:t>
      </w:r>
    </w:p>
    <w:p>
      <w:pPr>
        <w:pStyle w:val="FirstParagraph"/>
      </w:pPr>
      <w:r>
        <w:t xml:space="preserve">The primary objective is to develop a culturally appropriate, scalable framework for integrating optometrists into Naples' primary healthcare network. Specific aims include: (1) Mapping existing eye care service gaps across 10 municipal districts; (2) Evaluating the cost-effectiveness of expanding optometric diagnostic authority through pilot clinics; and (3) Co-designing community education modules with local health authorities to increase early intervention rates.</w:t>
      </w:r>
    </w:p>
    <w:bookmarkEnd w:id="22"/>
    <w:bookmarkStart w:id="23" w:name="methodology"/>
    <w:p>
      <w:pPr>
        <w:pStyle w:val="Heading2"/>
      </w:pPr>
      <w:r>
        <w:t xml:space="preserve">4. Methodology</w:t>
      </w:r>
    </w:p>
    <w:p>
      <w:pPr>
        <w:pStyle w:val="FirstParagraph"/>
      </w:pPr>
      <w:r>
        <w:t xml:space="preserve">This mixed-methods study employs a 15-month phased approach in partnership with the Azienda Sanitaria Locale (ASL) of Naples and the Italian Association of Optometrists (AIO). Phase 1 (Months 1-4) conducts spatial analysis using GIS mapping to identify "vision care deserts" via public health database triangulation. Phase 2 (Months 5-9) establishes three community-based pilot clinics in high-need zones, staffed by certified optometrists with extended diagnostic training. Patients will receive comprehensive exams including retinal imaging and tonometry (using portable devices like the Optos), with results compared against ophthalmology referrals for accuracy validation. Phase 3 (Months 10-15) involves focus groups with policymakers, optometrists, and community leaders to refine service models. Quantitative data will be analyzed using SPSS (p&lt;0.05 significance), while qualitative themes will undergo thematic analysis via NVivo.</w:t>
      </w:r>
    </w:p>
    <w:bookmarkEnd w:id="23"/>
    <w:bookmarkStart w:id="24" w:name="expected-outcomes-and-significance"/>
    <w:p>
      <w:pPr>
        <w:pStyle w:val="Heading2"/>
      </w:pPr>
      <w:r>
        <w:t xml:space="preserve">5. Expected Outcomes and Significance</w:t>
      </w:r>
    </w:p>
    <w:p>
      <w:pPr>
        <w:pStyle w:val="FirstParagraph"/>
      </w:pPr>
      <w:r>
        <w:t xml:space="preserve">We anticipate three transformative outcomes: First, a validated "Naples Optometric Integration Model" demonstrating a 30% reduction in unnecessary ophthalmology referrals through early optometrist intervention. Second, evidence-based policy briefs for the Italian Ministry of Health advocating legislative amendments to broaden optometric scope—directly addressing the</w:t>
      </w:r>
      <w:r>
        <w:t xml:space="preserve"> </w:t>
      </w:r>
      <w:r>
        <w:rPr>
          <w:bCs/>
          <w:b/>
        </w:rPr>
        <w:t xml:space="preserve">Optometrist</w:t>
      </w:r>
      <w:r>
        <w:t xml:space="preserve"> </w:t>
      </w:r>
      <w:r>
        <w:t xml:space="preserve">practice constraints in</w:t>
      </w:r>
      <w:r>
        <w:t xml:space="preserve"> </w:t>
      </w:r>
      <w:r>
        <w:rPr>
          <w:bCs/>
          <w:b/>
        </w:rPr>
        <w:t xml:space="preserve">Italy Naples</w:t>
      </w:r>
      <w:r>
        <w:t xml:space="preserve">. Third, a community engagement toolkit tailored to Naples' cultural context (e.g., adapting visual literacy materials for Neapolitan dialect speakers), which could reduce vision-related disability by 22% in target populations within 5 years. This research will position Naples as a national leader in primary eye care innovation, with ripple effects across Southern Italy where similar healthcare fragmentation exists.</w:t>
      </w:r>
    </w:p>
    <w:bookmarkEnd w:id="24"/>
    <w:bookmarkStart w:id="25"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Share (%)</w:t>
            </w:r>
          </w:p>
        </w:tc>
      </w:tr>
      <w:tr>
        <w:tc>
          <w:tcPr/>
          <w:p>
            <w:pPr>
              <w:pStyle w:val="Compact"/>
              <w:jc w:val="left"/>
            </w:pPr>
            <w:r>
              <w:t xml:space="preserve">Preparation &amp; Mapping</w:t>
            </w:r>
          </w:p>
        </w:tc>
        <w:tc>
          <w:tcPr/>
          <w:p>
            <w:pPr>
              <w:pStyle w:val="Compact"/>
              <w:jc w:val="left"/>
            </w:pPr>
            <w:r>
              <w:t xml:space="preserve">4 months</w:t>
            </w:r>
          </w:p>
        </w:tc>
        <w:tc>
          <w:tcPr/>
          <w:p>
            <w:pPr>
              <w:pStyle w:val="Compact"/>
              <w:jc w:val="left"/>
            </w:pPr>
            <w:r>
              <w:t xml:space="preserve">Data acquisition, stakeholder MOUs, GIS analysis</w:t>
            </w:r>
          </w:p>
        </w:tc>
        <w:tc>
          <w:tcPr/>
          <w:p>
            <w:pPr>
              <w:pStyle w:val="Compact"/>
              <w:jc w:val="left"/>
            </w:pPr>
            <w:r>
              <w:t xml:space="preserve">25%</w:t>
            </w:r>
          </w:p>
        </w:tc>
      </w:tr>
      <w:tr>
        <w:tc>
          <w:tcPr/>
          <w:p>
            <w:pPr>
              <w:pStyle w:val="Compact"/>
              <w:jc w:val="left"/>
            </w:pPr>
            <w:r>
              <w:t xml:space="preserve">Pilot Implementation</w:t>
            </w:r>
          </w:p>
        </w:tc>
        <w:tc>
          <w:tcPr/>
          <w:p>
            <w:pPr>
              <w:pStyle w:val="Compact"/>
              <w:jc w:val="left"/>
            </w:pPr>
            <w:r>
              <w:t xml:space="preserve">5 months</w:t>
            </w:r>
            <w:r>
              <w:rPr>
                <w:iCs/>
                <w:i/>
              </w:rPr>
              <w:t xml:space="preserve">Clinic setup, staff training, patient enrollment (300+)</w:t>
            </w:r>
          </w:p>
        </w:tc>
        <w:tc>
          <w:tcPr/>
          <w:p>
            <w:pPr>
              <w:pStyle w:val="Compact"/>
              <w:jc w:val="left"/>
            </w:pPr>
            <w:r>
              <w:t xml:space="preserve">40%</w:t>
            </w:r>
          </w:p>
        </w:tc>
        <w:tc>
          <w:tcPr/>
          <w:p>
            <w:pPr>
              <w:pStyle w:val="Compact"/>
            </w:pPr>
          </w:p>
        </w:tc>
      </w:tr>
      <w:tr>
        <w:tc>
          <w:tcPr/>
          <w:p>
            <w:pPr>
              <w:pStyle w:val="Compact"/>
              <w:jc w:val="left"/>
            </w:pPr>
            <w:r>
              <w:t xml:space="preserve">Evaluation &amp; Policy Design</w:t>
            </w:r>
          </w:p>
        </w:tc>
        <w:tc>
          <w:tcPr/>
          <w:p>
            <w:pPr>
              <w:pStyle w:val="Compact"/>
              <w:jc w:val="left"/>
            </w:pPr>
            <w:r>
              <w:t xml:space="preserve">6 months</w:t>
            </w:r>
          </w:p>
        </w:tc>
        <w:tc>
          <w:tcPr/>
          <w:p>
            <w:pPr>
              <w:pStyle w:val="Compact"/>
              <w:jc w:val="left"/>
            </w:pPr>
            <w:r>
              <w:t xml:space="preserve">Data analysis, focus groups, policy drafting</w:t>
            </w:r>
          </w:p>
        </w:tc>
        <w:tc>
          <w:tcPr/>
          <w:p>
            <w:pPr>
              <w:pStyle w:val="Compact"/>
              <w:jc w:val="left"/>
            </w:pPr>
            <w:r>
              <w:t xml:space="preserve">35%</w:t>
            </w:r>
          </w:p>
        </w:tc>
      </w:tr>
    </w:tbl>
    <w:bookmarkEnd w:id="25"/>
    <w:bookmarkStart w:id="26" w:name="conclusion-a-vision-for-naples-future"/>
    <w:p>
      <w:pPr>
        <w:pStyle w:val="Heading2"/>
      </w:pPr>
      <w:r>
        <w:t xml:space="preserve">7. Conclusion: A Vision for Naples' Future</w:t>
      </w:r>
    </w:p>
    <w:p>
      <w:pPr>
        <w:pStyle w:val="FirstParagraph"/>
      </w:pPr>
      <w:r>
        <w:t xml:space="preserve">This</w:t>
      </w:r>
      <w:r>
        <w:t xml:space="preserve"> </w:t>
      </w:r>
      <w:r>
        <w:rPr>
          <w:bCs/>
          <w:b/>
        </w:rPr>
        <w:t xml:space="preserve">Research Proposal</w:t>
      </w:r>
      <w:r>
        <w:t xml:space="preserve"> </w:t>
      </w:r>
      <w:r>
        <w:t xml:space="preserve">transcends academic inquiry; it is a strategic intervention to transform the landscape of eye health in Naples. By centering the role of the</w:t>
      </w:r>
      <w:r>
        <w:t xml:space="preserve"> </w:t>
      </w:r>
      <w:r>
        <w:rPr>
          <w:bCs/>
          <w:b/>
        </w:rPr>
        <w:t xml:space="preserve">Optometrist</w:t>
      </w:r>
      <w:r>
        <w:t xml:space="preserve">, this study challenges outdated paradigms and proposes a scalable, humane solution for one of Italy's most vulnerable urban populations. The outcomes will directly inform regional health planning in</w:t>
      </w:r>
      <w:r>
        <w:t xml:space="preserve"> </w:t>
      </w:r>
      <w:r>
        <w:rPr>
          <w:bCs/>
          <w:b/>
        </w:rPr>
        <w:t xml:space="preserve">Italy Naples</w:t>
      </w:r>
      <w:r>
        <w:t xml:space="preserve">, ensuring that vision care becomes a pillar of preventive medicine rather than an afterthought. With aging populations, rising digitalization, and persistent health inequities, the need for this research has never been more urgent. We seek funding to turn this proposal into action—because every Neapolitan deserves not just clear sight, but the dignity of proactive eye care rooted in community needs. The success of this project will set a precedent for national healthcare reform, proving that when optometrists are empowered as equal partners in</w:t>
      </w:r>
      <w:r>
        <w:t xml:space="preserve"> </w:t>
      </w:r>
      <w:r>
        <w:rPr>
          <w:bCs/>
          <w:b/>
        </w:rPr>
        <w:t xml:space="preserve">Italy Naples</w:t>
      </w:r>
      <w:r>
        <w:t xml:space="preserve">, the entire health ecosystem benefits.</w:t>
      </w:r>
    </w:p>
    <w:bookmarkEnd w:id="26"/>
    <w:bookmarkStart w:id="27" w:name="references-selected"/>
    <w:p>
      <w:pPr>
        <w:pStyle w:val="Heading2"/>
      </w:pPr>
      <w:r>
        <w:t xml:space="preserve">8. References (Selected)</w:t>
      </w:r>
    </w:p>
    <w:p>
      <w:pPr>
        <w:numPr>
          <w:ilvl w:val="0"/>
          <w:numId w:val="1002"/>
        </w:numPr>
        <w:pStyle w:val="Compact"/>
      </w:pPr>
      <w:r>
        <w:t xml:space="preserve">Italian Ministry of Health. (2023). *National Eye Health Survey: Urban vs Rural Disparities*. Rome: ISTAT.</w:t>
      </w:r>
    </w:p>
    <w:p>
      <w:pPr>
        <w:numPr>
          <w:ilvl w:val="0"/>
          <w:numId w:val="1002"/>
        </w:numPr>
        <w:pStyle w:val="Compact"/>
      </w:pPr>
      <w:r>
        <w:t xml:space="preserve">Martin, S., et al. (2021). "Optometry's Role in Chronic Disease Management." *British Journal of Ophthalmology*, 105(8), 1093–1097.</w:t>
      </w:r>
    </w:p>
    <w:p>
      <w:pPr>
        <w:numPr>
          <w:ilvl w:val="0"/>
          <w:numId w:val="1002"/>
        </w:numPr>
        <w:pStyle w:val="Compact"/>
      </w:pPr>
      <w:r>
        <w:t xml:space="preserve">AIO (Italian Optometric Association). (2023). *Report on Professional Scope Limitations in Southern Italy*. Naples: AIO Publications.</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Naples, Italy</dc:title>
  <dc:creator/>
  <dc:language>en</dc:language>
  <cp:keywords/>
  <dcterms:created xsi:type="dcterms:W3CDTF">2026-07-21T11:41:06Z</dcterms:created>
  <dcterms:modified xsi:type="dcterms:W3CDTF">2026-07-21T11:41:06Z</dcterms:modified>
</cp:coreProperties>
</file>

<file path=docProps/custom.xml><?xml version="1.0" encoding="utf-8"?>
<Properties xmlns="http://schemas.openxmlformats.org/officeDocument/2006/custom-properties" xmlns:vt="http://schemas.openxmlformats.org/officeDocument/2006/docPropsVTypes"/>
</file>