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Eye</w:t>
      </w:r>
      <w:r>
        <w:t xml:space="preserve"> </w:t>
      </w:r>
      <w:r>
        <w:t xml:space="preserve">Care</w:t>
      </w:r>
      <w:r>
        <w:t xml:space="preserve"> </w:t>
      </w:r>
      <w:r>
        <w:t xml:space="preserve">Accessibility</w:t>
      </w:r>
      <w:r>
        <w:t xml:space="preserve"> </w:t>
      </w:r>
      <w:r>
        <w:t xml:space="preserve">in</w:t>
      </w:r>
      <w:r>
        <w:t xml:space="preserve"> </w:t>
      </w:r>
      <w:r>
        <w:t xml:space="preserve">Osaka,</w:t>
      </w:r>
      <w:r>
        <w:t xml:space="preserve"> </w:t>
      </w:r>
      <w:r>
        <w:t xml:space="preserve">Japan</w:t>
      </w:r>
    </w:p>
    <w:bookmarkStart w:id="31" w:name="X729e1a4c9c39229586eb17b1f3bab3f2fe372a3"/>
    <w:p>
      <w:pPr>
        <w:pStyle w:val="Heading1"/>
      </w:pPr>
      <w:r>
        <w:t xml:space="preserve">Research Proposal: Advancing Optometric Practice and Eye Care Accessibility in Osaka, Japan</w:t>
      </w:r>
    </w:p>
    <w:bookmarkStart w:id="20" w:name="introduction-and-background"/>
    <w:p>
      <w:pPr>
        <w:pStyle w:val="Heading2"/>
      </w:pPr>
      <w:r>
        <w:t xml:space="preserve">1. Introduction and Background</w:t>
      </w:r>
    </w:p>
    <w:p>
      <w:pPr>
        <w:pStyle w:val="FirstParagraph"/>
      </w:pPr>
      <w:r>
        <w:t xml:space="preserve">The rapidly aging population of Japan presents a critical public health challenge, with vision impairment becoming increasingly prevalent among seniors. In Osaka—a megacity housing over 2.6 million residents—current eye care infrastructure faces significant strain as the number of individuals aged 65+ is projected to reach 43% by 2030. While ophthalmology services are well-established, the role of</w:t>
      </w:r>
      <w:r>
        <w:t xml:space="preserve"> </w:t>
      </w:r>
      <w:r>
        <w:rPr>
          <w:bCs/>
          <w:b/>
        </w:rPr>
        <w:t xml:space="preserve">Optometrist</w:t>
      </w:r>
      <w:r>
        <w:t xml:space="preserve"> </w:t>
      </w:r>
      <w:r>
        <w:t xml:space="preserve">remains underutilized due to regulatory limitations and fragmented service delivery. This research addresses a critical gap: Japan's optometric profession operates within a narrow scope defined by the 1958 Optometry Law, restricting practitioners from diagnosing diseases or prescribing medications—unlike in Western countries where optometrists serve as primary eye care providers. In Osaka, this constraint contributes to overcrowded ophthalmology clinics and delayed interventions for preventable conditions like diabetic retinopathy and glaucoma.</w:t>
      </w:r>
    </w:p>
    <w:bookmarkEnd w:id="20"/>
    <w:bookmarkStart w:id="21" w:name="problem-statement"/>
    <w:p>
      <w:pPr>
        <w:pStyle w:val="Heading2"/>
      </w:pPr>
      <w:r>
        <w:t xml:space="preserve">2. Problem Statement</w:t>
      </w:r>
    </w:p>
    <w:p>
      <w:pPr>
        <w:pStyle w:val="FirstParagraph"/>
      </w:pPr>
      <w:r>
        <w:t xml:space="preserve">Current data reveals that 87% of Osaka residents aged 60+ experience some form of visual impairment, yet only 35% receive regular optometric screenings annually. This is largely due to three systemic barriers: (1) limited optometrist autonomy in diagnostic processes, (2) insufficient integration between optometry and ophthalmology services, and (3) geographic disparities in access—particularly in Osaka's densely populated urban centers like Namba and Umeda versus suburban areas such as Sakai. Consequently, preventable vision loss costs Japan an estimated ¥500 billion annually in healthcare expenditures. This research directly confronts these challenges by investigating how expanding the</w:t>
      </w:r>
      <w:r>
        <w:t xml:space="preserve"> </w:t>
      </w:r>
      <w:r>
        <w:rPr>
          <w:bCs/>
          <w:b/>
        </w:rPr>
        <w:t xml:space="preserve">Optometrist</w:t>
      </w:r>
      <w:r>
        <w:t xml:space="preserve">'s scope of practice within</w:t>
      </w:r>
      <w:r>
        <w:t xml:space="preserve"> </w:t>
      </w:r>
      <w:r>
        <w:rPr>
          <w:bCs/>
          <w:b/>
        </w:rPr>
        <w:t xml:space="preserve">Japan Osaka</w:t>
      </w:r>
      <w:r>
        <w:t xml:space="preserve">'s healthcare ecosystem could alleviate pressure on specialized facilities while improving early detection rates.</w:t>
      </w:r>
    </w:p>
    <w:bookmarkEnd w:id="21"/>
    <w:bookmarkStart w:id="22" w:name="literature-review-summary"/>
    <w:p>
      <w:pPr>
        <w:pStyle w:val="Heading2"/>
      </w:pPr>
      <w:r>
        <w:t xml:space="preserve">3. Literature Review Summary</w:t>
      </w:r>
    </w:p>
    <w:p>
      <w:pPr>
        <w:pStyle w:val="FirstParagraph"/>
      </w:pPr>
      <w:r>
        <w:t xml:space="preserve">Existing studies on Japanese optometry (e.g., Sato et al., 2020; Ministry of Health Report, 2022) confirm the profession's restricted role but lack localized insights into Osaka's unique urban dynamics. International evidence from the U.S. and UK demonstrates that when optometrists assume expanded clinical responsibilities—such as diabetic eye screenings or glaucoma monitoring—patient outcomes improve by 30% and specialist referrals decrease by 25%. However, no research has examined the feasibility of such models in Japan's regulatory context. Crucially, Osaka's status as a global economic hub with advanced healthcare infrastructure creates an ideal laboratory for piloting reforms. This study bridges the gap between international best practices and Japan's specific legal/cultural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scope of practice, service accessibility, and patient pathways for optometrists across Osaka Prefecture.</w:t>
      </w:r>
    </w:p>
    <w:p>
      <w:pPr>
        <w:numPr>
          <w:ilvl w:val="0"/>
          <w:numId w:val="1001"/>
        </w:numPr>
        <w:pStyle w:val="Compact"/>
      </w:pPr>
      <w:r>
        <w:t xml:space="preserve">To identify regulatory, cultural, and infrastructural barriers hindering expanded optometric roles in Osaka's healthcare system.</w:t>
      </w:r>
    </w:p>
    <w:p>
      <w:pPr>
        <w:numPr>
          <w:ilvl w:val="0"/>
          <w:numId w:val="1001"/>
        </w:numPr>
        <w:pStyle w:val="Compact"/>
      </w:pPr>
      <w:r>
        <w:t xml:space="preserve">To co-develop evidence-based policy recommendations with Osaka’s Department of Health and key stakeholders (e.g., Japan Optometric Association, hospitals like Naniwa Eye Hospital).</w:t>
      </w:r>
    </w:p>
    <w:p>
      <w:pPr>
        <w:numPr>
          <w:ilvl w:val="0"/>
          <w:numId w:val="1001"/>
        </w:numPr>
        <w:pStyle w:val="Compact"/>
      </w:pPr>
      <w:r>
        <w:t xml:space="preserve">To evaluate the economic impact of integrating optometrists into primary eye care networks within Osaka’s public health framework.</w:t>
      </w:r>
    </w:p>
    <w:bookmarkEnd w:id="23"/>
    <w:bookmarkStart w:id="27" w:name="methodology"/>
    <w:p>
      <w:pPr>
        <w:pStyle w:val="Heading2"/>
      </w:pPr>
      <w:r>
        <w:t xml:space="preserve">5. Methodology</w:t>
      </w:r>
    </w:p>
    <w:p>
      <w:pPr>
        <w:pStyle w:val="FirstParagraph"/>
      </w:pPr>
      <w:r>
        <w:t xml:space="preserve">This mixed-methods study employs a 15-month phased approach across Osaka’s 24 municipal districts:</w:t>
      </w:r>
    </w:p>
    <w:bookmarkStart w:id="24" w:name="Xf184171a93bffdd5ac7c8003b3f58116cc477b3"/>
    <w:p>
      <w:pPr>
        <w:pStyle w:val="Heading3"/>
      </w:pPr>
      <w:r>
        <w:t xml:space="preserve">Phase 1: Quantitative Baseline Assessment (Months 1-4)</w:t>
      </w:r>
    </w:p>
    <w:p>
      <w:pPr>
        <w:numPr>
          <w:ilvl w:val="0"/>
          <w:numId w:val="1002"/>
        </w:numPr>
        <w:pStyle w:val="Compact"/>
      </w:pPr>
      <w:r>
        <w:rPr>
          <w:bCs/>
          <w:b/>
        </w:rPr>
        <w:t xml:space="preserve">Optometrist Survey:</w:t>
      </w:r>
      <w:r>
        <w:t xml:space="preserve"> </w:t>
      </w:r>
      <w:r>
        <w:t xml:space="preserve">Administer standardized questionnaires to all 872 licensed optometrists in Osaka (95% response rate target) on clinical practices, referral patterns, and perceived limitations.</w:t>
      </w:r>
    </w:p>
    <w:p>
      <w:pPr>
        <w:numPr>
          <w:ilvl w:val="0"/>
          <w:numId w:val="1002"/>
        </w:numPr>
        <w:pStyle w:val="Compact"/>
      </w:pPr>
      <w:r>
        <w:rPr>
          <w:bCs/>
          <w:b/>
        </w:rPr>
        <w:t xml:space="preserve">Patient Data Analysis:</w:t>
      </w:r>
      <w:r>
        <w:t xml:space="preserve"> </w:t>
      </w:r>
      <w:r>
        <w:t xml:space="preserve">Collaborate with Osaka Medical Records Center to anonymize data from 10,000+ annual eye care visits (2021-2023), tracking delays in diagnosis for common conditions.</w:t>
      </w:r>
    </w:p>
    <w:bookmarkEnd w:id="24"/>
    <w:bookmarkStart w:id="25" w:name="X9711f2f704032d2e58fbd88c8bad109064e8b2c"/>
    <w:p>
      <w:pPr>
        <w:pStyle w:val="Heading3"/>
      </w:pPr>
      <w:r>
        <w:t xml:space="preserve">Phase 2: Qualitative Stakeholder Engagement (Months 5-9)</w:t>
      </w:r>
    </w:p>
    <w:p>
      <w:pPr>
        <w:numPr>
          <w:ilvl w:val="0"/>
          <w:numId w:val="1003"/>
        </w:numPr>
        <w:pStyle w:val="Compact"/>
      </w:pPr>
      <w:r>
        <w:rPr>
          <w:bCs/>
          <w:b/>
        </w:rPr>
        <w:t xml:space="preserve">Key Informant Interviews:</w:t>
      </w:r>
      <w:r>
        <w:t xml:space="preserve"> </w:t>
      </w:r>
      <w:r>
        <w:t xml:space="preserve">Conduct semi-structured interviews with 40 policymakers, ophthalmologists (from Osaka University Hospital), and optometrists representing diverse practice settings.</w:t>
      </w:r>
    </w:p>
    <w:p>
      <w:pPr>
        <w:numPr>
          <w:ilvl w:val="0"/>
          <w:numId w:val="1003"/>
        </w:numPr>
        <w:pStyle w:val="Compact"/>
      </w:pPr>
      <w:r>
        <w:rPr>
          <w:bCs/>
          <w:b/>
        </w:rPr>
        <w:t xml:space="preserve">Focus Groups:</w:t>
      </w:r>
      <w:r>
        <w:t xml:space="preserve"> </w:t>
      </w:r>
      <w:r>
        <w:t xml:space="preserve">Organize 6 community sessions in high-risk districts (e.g., Toyonaka, Kita-ku) to hear patient experiences regarding access barriers.</w:t>
      </w:r>
    </w:p>
    <w:bookmarkEnd w:id="25"/>
    <w:bookmarkStart w:id="26" w:name="X8ec4b578fb96d42c70d14f9d5365ea260cf87d2"/>
    <w:p>
      <w:pPr>
        <w:pStyle w:val="Heading3"/>
      </w:pPr>
      <w:r>
        <w:t xml:space="preserve">Phase 3: Policy Co-Creation and Impact Modeling (Months 10-15)</w:t>
      </w:r>
    </w:p>
    <w:p>
      <w:pPr>
        <w:numPr>
          <w:ilvl w:val="0"/>
          <w:numId w:val="1004"/>
        </w:numPr>
        <w:pStyle w:val="Compact"/>
      </w:pPr>
      <w:r>
        <w:rPr>
          <w:bCs/>
          <w:b/>
        </w:rPr>
        <w:t xml:space="preserve">Workshop Series:</w:t>
      </w:r>
      <w:r>
        <w:t xml:space="preserve"> </w:t>
      </w:r>
      <w:r>
        <w:t xml:space="preserve">Facilitate 4 iterative workshops with Osaka’s Health Bureau to prototype regulatory amendments (e.g., limited prescribing authority for acute conditions).</w:t>
      </w:r>
    </w:p>
    <w:p>
      <w:pPr>
        <w:numPr>
          <w:ilvl w:val="0"/>
          <w:numId w:val="1004"/>
        </w:numPr>
        <w:pStyle w:val="Compact"/>
      </w:pPr>
      <w:r>
        <w:rPr>
          <w:bCs/>
          <w:b/>
        </w:rPr>
        <w:t xml:space="preserve">Economic Simulation:</w:t>
      </w:r>
      <w:r>
        <w:t xml:space="preserve"> </w:t>
      </w:r>
      <w:r>
        <w:t xml:space="preserve">Use AI-driven modeling to project cost savings from reduced ophthalmology referrals using Osaka-specific healthcare utilization data.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 (1) A comprehensive diagnostic report detailing Osaka’s optometric service gaps with district-level maps; (2) A validated regulatory reform framework adaptable to other Japanese prefectures; and (3) An economic model demonstrating how expanded optometrist roles could save Osaka ¥180 million annually in avoided specialist visits. Crucially, the project will directly advance</w:t>
      </w:r>
      <w:r>
        <w:t xml:space="preserve"> </w:t>
      </w:r>
      <w:r>
        <w:rPr>
          <w:bCs/>
          <w:b/>
        </w:rPr>
        <w:t xml:space="preserve">Japan Osaka</w:t>
      </w:r>
      <w:r>
        <w:t xml:space="preserve">'s 2035 Vision Health Strategy by positioning optometrists as frontline primary eye care providers—aligning with Japan’s national goal to reduce vision-related disability by 40% through preventive care.</w:t>
      </w:r>
    </w:p>
    <w:p>
      <w:pPr>
        <w:pStyle w:val="BodyText"/>
      </w:pPr>
      <w:r>
        <w:t xml:space="preserve">The societal significance extends beyond cost savings. By enabling earlier intervention for conditions like age-related macular degeneration, this research directly supports Osaka's aging population—particularly in neighborhoods with limited hospital access. For instance, integrating optometrists into community health centers in Higashiosaka could reduce vision loss progression rates by 20% among elderly residents. Furthermore, the study will address cultural nuances: Japanese patients often prioritize physician authority over allied health professionals, so our framework includes training modules for optometrists on patient communication strategies that align with local healthcare expectations.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adheres to Japan’s Act on the Protection of Personal Information and Osaka University IRB guidelines (approval sought pre-study). Patient anonymity will be maintained via encrypted databases, with community advisory boards in each district ensuring cultural sensitivity. Notably, this project partners with Osaka’s Citizen Health Council to co-design patient education materials—addressing a critical gap where 68% of Osaka seniors report confusion about when to seek optometric vs. medical care.</w:t>
      </w:r>
    </w:p>
    <w:bookmarkEnd w:id="29"/>
    <w:bookmarkStart w:id="30" w:name="conclusion"/>
    <w:p>
      <w:pPr>
        <w:pStyle w:val="Heading2"/>
      </w:pPr>
      <w:r>
        <w:t xml:space="preserve">8. Conclusion</w:t>
      </w:r>
    </w:p>
    <w:p>
      <w:pPr>
        <w:pStyle w:val="FirstParagraph"/>
      </w:pPr>
      <w:r>
        <w:t xml:space="preserve">The integration of the</w:t>
      </w:r>
      <w:r>
        <w:t xml:space="preserve"> </w:t>
      </w:r>
      <w:r>
        <w:rPr>
          <w:bCs/>
          <w:b/>
        </w:rPr>
        <w:t xml:space="preserve">Optometrist</w:t>
      </w:r>
      <w:r>
        <w:t xml:space="preserve"> </w:t>
      </w:r>
      <w:r>
        <w:t xml:space="preserve">into Japan’s primary eye care continuum is not merely a professional evolution—it is a public health imperative for Osaka’s future. This research proposal transcends academic inquiry by delivering actionable pathways to transform how vision health is managed across one of Asia’s most dynamic cities. By grounding recommendations in Osaka-specific data and co-creating solutions with local stakeholders, we ensure that findings translate directly into policy changes within 18 months of project completion. As Japan navigates demographic challenges, Osaka can pioneer a model where optometrists become central to sustainable eye care—reducing healthcare burdens while elevating the quality of life for millions. This study will establish the blueprint for nationwide reform, making it a pivotal contribution to global optometric practice and Japan’s healthcare innovation narrative.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and Eye Care Accessibility in Osaka, Japan</dc:title>
  <dc:creator/>
  <dc:language>en</dc:language>
  <cp:keywords/>
  <dcterms:created xsi:type="dcterms:W3CDTF">2026-07-23T04:39:43Z</dcterms:created>
  <dcterms:modified xsi:type="dcterms:W3CDTF">2026-07-23T04:39:43Z</dcterms:modified>
</cp:coreProperties>
</file>

<file path=docProps/custom.xml><?xml version="1.0" encoding="utf-8"?>
<Properties xmlns="http://schemas.openxmlformats.org/officeDocument/2006/custom-properties" xmlns:vt="http://schemas.openxmlformats.org/officeDocument/2006/docPropsVTypes"/>
</file>