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046afa55792ce6a8582c0daeaef1256c9e42b5"/>
    <w:p>
      <w:pPr>
        <w:pStyle w:val="Heading1"/>
      </w:pPr>
      <w:r>
        <w:t xml:space="preserve">Research Proposal: Enhancing Access and Utilization of Optometrist Services in Urban Malaysia Kuala Lumpur</w:t>
      </w:r>
    </w:p>
    <w:bookmarkStart w:id="20" w:name="abstract"/>
    <w:p>
      <w:pPr>
        <w:pStyle w:val="Heading2"/>
      </w:pPr>
      <w:r>
        <w:t xml:space="preserve">Abstract</w:t>
      </w:r>
    </w:p>
    <w:p>
      <w:pPr>
        <w:pStyle w:val="FirstParagraph"/>
      </w:pPr>
      <w:r>
        <w:t xml:space="preserve">This Research Proposal outlines a critical study addressing the growing demand for comprehensive eye care services within Malaysia Kuala Lumpur. With rapid urbanization, aging demographics, and rising prevalence of ocular conditions such as myopia, diabetic retinopathy, and glaucoma, the role of the Optometrist has become indispensable. This research aims to investigate barriers to optimal Optometrist utilization across diverse communities in Malaysia Kuala Lumpur, proposing evidence-based strategies to strengthen eye health infrastructure. The study will employ mixed-methods (surveys, focus groups, health data analysis) within KL's metropolitan context, targeting 15 clinics and 300 patients over 12 months. Findings will directly inform policy recommendations for the Ministry of Health Malaysia and the Malaysian Optometric Association to enhance service delivery.</w:t>
      </w:r>
    </w:p>
    <w:bookmarkEnd w:id="20"/>
    <w:bookmarkStart w:id="21" w:name="Xc0a34be245c4894ff7d15c6e7db3d47fdc82da7"/>
    <w:p>
      <w:pPr>
        <w:pStyle w:val="Heading2"/>
      </w:pPr>
      <w:r>
        <w:t xml:space="preserve">1. Introduction: The Imperative for Optometrist Advancement in Kuala Lumpur</w:t>
      </w:r>
    </w:p>
    <w:p>
      <w:pPr>
        <w:pStyle w:val="FirstParagraph"/>
      </w:pPr>
      <w:r>
        <w:t xml:space="preserve">Malaysia, particularly its capital city Kuala Lumpur, faces significant challenges in eye health accessibility. As a rapidly developing Southeast Asian nation with a population exceeding 33 million, Malaysia Kuala Lumpur serves as the epicenter of healthcare services yet grapples with unequal distribution of specialized care. The Optometrist—often the first point of contact for vision correction and early detection of systemic diseases—remains underutilized due to fragmented referral systems, public misconception about their scope, and geographic disparities. According to the Malaysian National Health and Morbidity Survey (2019), 34% of urban Malaysians over 40 report uncorrected refractive errors, while diabetic retinopathy rates are rising at 5.2% annually in Kuala Lumpur. This Research Proposal directly confronts these gaps by centering the Optometrist as a pivotal healthcare provider within Malaysia Kuala Lumpur's evolving health ecosystem.</w:t>
      </w:r>
    </w:p>
    <w:bookmarkEnd w:id="21"/>
    <w:bookmarkStart w:id="22" w:name="X6ff845ead0582e0521666ae0c17c97a052b4a19"/>
    <w:p>
      <w:pPr>
        <w:pStyle w:val="Heading2"/>
      </w:pPr>
      <w:r>
        <w:t xml:space="preserve">2. Problem Statement: Critical Gaps in Optometrist Service Delivery</w:t>
      </w:r>
    </w:p>
    <w:p>
      <w:pPr>
        <w:pStyle w:val="FirstParagraph"/>
      </w:pPr>
      <w:r>
        <w:t xml:space="preserve">Despite the Malaysian government’s Vision 2030 goals emphasizing universal health access, Malaysia Kuala Lumpur exhibits stark inequities. Key issues include:</w:t>
      </w:r>
    </w:p>
    <w:p>
      <w:pPr>
        <w:numPr>
          <w:ilvl w:val="0"/>
          <w:numId w:val="1001"/>
        </w:numPr>
        <w:pStyle w:val="Compact"/>
      </w:pPr>
      <w:r>
        <w:rPr>
          <w:bCs/>
          <w:b/>
        </w:rPr>
        <w:t xml:space="preserve">Limited Public Awareness:</w:t>
      </w:r>
      <w:r>
        <w:t xml:space="preserve"> </w:t>
      </w:r>
      <w:r>
        <w:t xml:space="preserve">Many Kuala Lumpur residents confuse Optometrists with opticians or prefer direct ophthalmology referrals.</w:t>
      </w:r>
    </w:p>
    <w:p>
      <w:pPr>
        <w:numPr>
          <w:ilvl w:val="0"/>
          <w:numId w:val="1001"/>
        </w:numPr>
        <w:pStyle w:val="Compact"/>
      </w:pPr>
      <w:r>
        <w:rPr>
          <w:bCs/>
          <w:b/>
        </w:rPr>
        <w:t xml:space="preserve">Regulatory Constraints:</w:t>
      </w:r>
      <w:r>
        <w:t xml:space="preserve"> </w:t>
      </w:r>
      <w:r>
        <w:t xml:space="preserve">While the 2017 Optometrists Act expanded roles, optometrists still lack full prescribing authority for certain eye conditions in rural KL satellite towns.</w:t>
      </w:r>
    </w:p>
    <w:p>
      <w:pPr>
        <w:numPr>
          <w:ilvl w:val="0"/>
          <w:numId w:val="1001"/>
        </w:numPr>
        <w:pStyle w:val="Compact"/>
      </w:pPr>
      <w:r>
        <w:rPr>
          <w:bCs/>
          <w:b/>
        </w:rPr>
        <w:t xml:space="preserve">Geographic Mismatch:</w:t>
      </w:r>
      <w:r>
        <w:t xml:space="preserve"> </w:t>
      </w:r>
      <w:r>
        <w:t xml:space="preserve">Over 60% of Optometrist clinics are concentrated in affluent KL neighborhoods (e.g., Bukit Bintang, Damansara), leaving low-income areas like Taman Sri Petaling underserved.</w:t>
      </w:r>
    </w:p>
    <w:p>
      <w:pPr>
        <w:numPr>
          <w:ilvl w:val="0"/>
          <w:numId w:val="1001"/>
        </w:numPr>
        <w:pStyle w:val="Compact"/>
      </w:pPr>
      <w:r>
        <w:rPr>
          <w:bCs/>
          <w:b/>
        </w:rPr>
        <w:t xml:space="preserve">Integration Deficit:</w:t>
      </w:r>
      <w:r>
        <w:t xml:space="preserve"> </w:t>
      </w:r>
      <w:r>
        <w:t xml:space="preserve">Optometrist data is rarely shared with primary care networks, hindering holistic management of chronic eye diseases in Malaysia Kuala Lumpur.</w:t>
      </w:r>
    </w:p>
    <w:bookmarkEnd w:id="22"/>
    <w:bookmarkStart w:id="23" w:name="research-objectives"/>
    <w:p>
      <w:pPr>
        <w:pStyle w:val="Heading2"/>
      </w:pPr>
      <w:r>
        <w:t xml:space="preserve">3. Research Objectives</w:t>
      </w:r>
    </w:p>
    <w:p>
      <w:pPr>
        <w:pStyle w:val="FirstParagraph"/>
      </w:pPr>
      <w:r>
        <w:t xml:space="preserve">This study will achieve three core objectives within the Malaysia Kuala Lumpur context:</w:t>
      </w:r>
    </w:p>
    <w:p>
      <w:pPr>
        <w:numPr>
          <w:ilvl w:val="0"/>
          <w:numId w:val="1002"/>
        </w:numPr>
        <w:pStyle w:val="Compact"/>
      </w:pPr>
      <w:r>
        <w:t xml:space="preserve">To map the current distribution, accessibility, and service capacity of Optometrist clinics across KL’s 11 districts.</w:t>
      </w:r>
    </w:p>
    <w:p>
      <w:pPr>
        <w:numPr>
          <w:ilvl w:val="0"/>
          <w:numId w:val="1002"/>
        </w:numPr>
        <w:pStyle w:val="Compact"/>
      </w:pPr>
      <w:r>
        <w:t xml:space="preserve">To identify socio-cultural and systemic barriers preventing patients from utilizing Optometrist services in diverse KL communities (e.g., B40 households, elderly populations).</w:t>
      </w:r>
    </w:p>
    <w:p>
      <w:pPr>
        <w:numPr>
          <w:ilvl w:val="0"/>
          <w:numId w:val="1002"/>
        </w:numPr>
        <w:pStyle w:val="Compact"/>
      </w:pPr>
      <w:r>
        <w:t xml:space="preserve">To co-create a scalable framework for enhancing Optometrist-led primary eye care integration with Malaysia’s public health system (e.g., clinics under Ministry of Health Kuala Lumpur).</w:t>
      </w:r>
    </w:p>
    <w:bookmarkEnd w:id="23"/>
    <w:bookmarkStart w:id="24" w:name="Xf93368443f3a0ad1015627ba102d6ad41d8a361"/>
    <w:p>
      <w:pPr>
        <w:pStyle w:val="Heading2"/>
      </w:pPr>
      <w:r>
        <w:t xml:space="preserve">4. Methodology: Contextualized for Malaysia Kuala Lumpur</w:t>
      </w:r>
    </w:p>
    <w:p>
      <w:pPr>
        <w:pStyle w:val="FirstParagraph"/>
      </w:pPr>
      <w:r>
        <w:t xml:space="preserve">The research employs a sequential mixed-methods design tailored to Malaysia Kuala Lumpur:</w:t>
      </w:r>
    </w:p>
    <w:p>
      <w:pPr>
        <w:numPr>
          <w:ilvl w:val="0"/>
          <w:numId w:val="1003"/>
        </w:numPr>
        <w:pStyle w:val="Compact"/>
      </w:pPr>
      <w:r>
        <w:rPr>
          <w:bCs/>
          <w:b/>
        </w:rPr>
        <w:t xml:space="preserve">Phase 1 (Quantitative):</w:t>
      </w:r>
      <w:r>
        <w:t xml:space="preserve"> </w:t>
      </w:r>
      <w:r>
        <w:t xml:space="preserve">Survey of 300 patients across 15 Optometrist clinics in KL (5 urban, 5 suburban, 5 low-income districts) using validated tools assessing service access, cost barriers, and health literacy. Data will be analyzed via SPSS.</w:t>
      </w:r>
    </w:p>
    <w:p>
      <w:pPr>
        <w:numPr>
          <w:ilvl w:val="0"/>
          <w:numId w:val="1003"/>
        </w:numPr>
        <w:pStyle w:val="Compact"/>
      </w:pPr>
      <w:r>
        <w:rPr>
          <w:bCs/>
          <w:b/>
        </w:rPr>
        <w:t xml:space="preserve">Phase 2 (Qualitative):</w:t>
      </w:r>
      <w:r>
        <w:t xml:space="preserve"> </w:t>
      </w:r>
      <w:r>
        <w:t xml:space="preserve">Focus group discussions (FGDs) with 48 participants (including Optometrist practitioners from clinics in Petaling Jaya and Bangsar) exploring systemic challenges. Semi-structured interviews with MOH Kuala Lumpur officials will identify policy levers.</w:t>
      </w:r>
    </w:p>
    <w:p>
      <w:pPr>
        <w:numPr>
          <w:ilvl w:val="0"/>
          <w:numId w:val="1003"/>
        </w:numPr>
        <w:pStyle w:val="Compact"/>
      </w:pPr>
      <w:r>
        <w:rPr>
          <w:bCs/>
          <w:b/>
        </w:rPr>
        <w:t xml:space="preserve">Data Integration:</w:t>
      </w:r>
      <w:r>
        <w:t xml:space="preserve"> </w:t>
      </w:r>
      <w:r>
        <w:t xml:space="preserve">GIS mapping of clinic locations against KL’s socioeconomic indices to visualize service gaps, using Malaysian Department of Statistics data.</w:t>
      </w:r>
    </w:p>
    <w:bookmarkEnd w:id="24"/>
    <w:bookmarkStart w:id="25" w:name="X561815514ffdb904abd8252274db74a47c4954a"/>
    <w:p>
      <w:pPr>
        <w:pStyle w:val="Heading2"/>
      </w:pPr>
      <w:r>
        <w:t xml:space="preserve">5. Expected Outcomes and Significance for Malaysia Kuala Lumpur</w:t>
      </w:r>
    </w:p>
    <w:p>
      <w:pPr>
        <w:pStyle w:val="FirstParagraph"/>
      </w:pPr>
      <w:r>
        <w:t xml:space="preserve">This Research Proposal anticipates three transformative outcomes:</w:t>
      </w:r>
    </w:p>
    <w:p>
      <w:pPr>
        <w:numPr>
          <w:ilvl w:val="0"/>
          <w:numId w:val="1004"/>
        </w:numPr>
        <w:pStyle w:val="Compact"/>
      </w:pPr>
      <w:r>
        <w:t xml:space="preserve">A public-facing dashboard showing real-time Optometrist service coverage across Malaysia Kuala Lumpur, enabling targeted resource allocation.</w:t>
      </w:r>
    </w:p>
    <w:p>
      <w:pPr>
        <w:numPr>
          <w:ilvl w:val="0"/>
          <w:numId w:val="1004"/>
        </w:numPr>
        <w:pStyle w:val="Compact"/>
      </w:pPr>
      <w:r>
        <w:t xml:space="preserve">A policy brief advocating for expanded prescribing rights for Optometrists in diabetic eye care (aligned with MOH’s 2023 National Diabetes Program) within KL.</w:t>
      </w:r>
    </w:p>
    <w:p>
      <w:pPr>
        <w:numPr>
          <w:ilvl w:val="0"/>
          <w:numId w:val="1004"/>
        </w:numPr>
        <w:pStyle w:val="Compact"/>
      </w:pPr>
      <w:r>
        <w:t xml:space="preserve">A pilot model integrating Optometrist screenings into KL’s Community Health Clinics (PPKM), reducing referrals to overburdened hospitals like Hospital Kuala Lumpur.</w:t>
      </w:r>
    </w:p>
    <w:bookmarkEnd w:id="25"/>
    <w:bookmarkStart w:id="26" w:name="X7fe948b647d41007c9e195a52f1991c75df81aa"/>
    <w:p>
      <w:pPr>
        <w:pStyle w:val="Heading2"/>
      </w:pPr>
      <w:r>
        <w:t xml:space="preserve">6. Ethical Considerations and Local Collaboration</w:t>
      </w:r>
    </w:p>
    <w:p>
      <w:pPr>
        <w:pStyle w:val="FirstParagraph"/>
      </w:pPr>
      <w:r>
        <w:t xml:space="preserve">All research activities will comply with the National Medical Research Register (NMRR) of Malaysia, with ethics approval from the University of Malaya’s Ethics Committee. Key local partnerships include:</w:t>
      </w:r>
    </w:p>
    <w:p>
      <w:pPr>
        <w:numPr>
          <w:ilvl w:val="0"/>
          <w:numId w:val="1005"/>
        </w:numPr>
        <w:pStyle w:val="Compact"/>
      </w:pPr>
      <w:r>
        <w:t xml:space="preserve">The Malaysian Optometric Association (MOA), providing practitioner networks and clinical insights.</w:t>
      </w:r>
    </w:p>
    <w:p>
      <w:pPr>
        <w:numPr>
          <w:ilvl w:val="0"/>
          <w:numId w:val="1005"/>
        </w:numPr>
        <w:pStyle w:val="Compact"/>
      </w:pPr>
      <w:r>
        <w:t xml:space="preserve">Kuala Lumpur City Hall’s Health Division, for community access and data sharing.</w:t>
      </w:r>
    </w:p>
    <w:p>
      <w:pPr>
        <w:numPr>
          <w:ilvl w:val="0"/>
          <w:numId w:val="1005"/>
        </w:numPr>
        <w:pStyle w:val="Compact"/>
      </w:pPr>
      <w:r>
        <w:t xml:space="preserve">Community-Based Organizations (e.g., Persatuan Masyarakat Berpendidikan) to ensure marginalized groups’ voices are central.</w:t>
      </w:r>
    </w:p>
    <w:bookmarkEnd w:id="26"/>
    <w:bookmarkStart w:id="27" w:name="timeline-and-budget-overview"/>
    <w:p>
      <w:pPr>
        <w:pStyle w:val="Heading2"/>
      </w:pPr>
      <w:r>
        <w:t xml:space="preserve">7. Timeline and Budget Overview</w:t>
      </w:r>
    </w:p>
    <w:p>
      <w:pPr>
        <w:pStyle w:val="FirstParagraph"/>
      </w:pPr>
      <w:r>
        <w:t xml:space="preserve">The 12-month study (January–December 2025) includes:</w:t>
      </w:r>
    </w:p>
    <w:p>
      <w:pPr>
        <w:numPr>
          <w:ilvl w:val="0"/>
          <w:numId w:val="1006"/>
        </w:numPr>
        <w:pStyle w:val="Compact"/>
      </w:pPr>
      <w:r>
        <w:rPr>
          <w:bCs/>
          <w:b/>
        </w:rPr>
        <w:t xml:space="preserve">Months 1–3:</w:t>
      </w:r>
      <w:r>
        <w:t xml:space="preserve"> </w:t>
      </w:r>
      <w:r>
        <w:t xml:space="preserve">Stakeholder engagement with MOH KL, clinic recruitment.</w:t>
      </w:r>
    </w:p>
    <w:p>
      <w:pPr>
        <w:numPr>
          <w:ilvl w:val="0"/>
          <w:numId w:val="1006"/>
        </w:numPr>
        <w:pStyle w:val="Compact"/>
      </w:pPr>
      <w:r>
        <w:rPr>
          <w:bCs/>
          <w:b/>
        </w:rPr>
        <w:t xml:space="preserve">Months 4–8:</w:t>
      </w:r>
      <w:r>
        <w:t xml:space="preserve"> </w:t>
      </w:r>
      <w:r>
        <w:t xml:space="preserve">Data collection across Kuala Lumpur sites.</w:t>
      </w:r>
    </w:p>
    <w:p>
      <w:pPr>
        <w:numPr>
          <w:ilvl w:val="0"/>
          <w:numId w:val="1006"/>
        </w:numPr>
        <w:pStyle w:val="Compact"/>
      </w:pPr>
      <w:r>
        <w:rPr>
          <w:bCs/>
          <w:b/>
        </w:rPr>
        <w:t xml:space="preserve">Months 9–12:</w:t>
      </w:r>
      <w:r>
        <w:t xml:space="preserve"> </w:t>
      </w:r>
      <w:r>
        <w:t xml:space="preserve">Analysis, framework co-creation with MOA, and policy briefing preparation.</w:t>
      </w:r>
    </w:p>
    <w:bookmarkEnd w:id="27"/>
    <w:bookmarkStart w:id="28" w:name="X59de42e8bc050f5af44a8dd73bc4b0134337e5c"/>
    <w:p>
      <w:pPr>
        <w:pStyle w:val="Heading2"/>
      </w:pPr>
      <w:r>
        <w:t xml:space="preserve">8. Conclusion: A Strategic Imperative for Malaysia</w:t>
      </w:r>
    </w:p>
    <w:p>
      <w:pPr>
        <w:pStyle w:val="FirstParagraph"/>
      </w:pPr>
      <w:r>
        <w:t xml:space="preserve">The role of the Optometrist in Malaysia Kuala Lumpur is no longer peripheral—it is central to achieving sustainable eye health outcomes. This Research Proposal transcends academic inquiry; it delivers a roadmap to transform Optometrist services from reactive vision correction toward proactive, integrated primary care. By prioritizing equity in Kuala Lumpur’s healthcare landscape, this study directly supports Malaysia’s National Eye Health Plan (2023–2030) and the UN Sustainable Development Goal 3 (Good Health). Ultimately, optimizing the Optometrist workforce in Malaysia Kuala Lumpur will not only reduce avoidable blindness but also alleviate pressure on tertiary hospitals, creating a model applicable nationwide. We urge stakeholders to invest in this critical research to secure sight for all Malaysians.</w:t>
      </w:r>
    </w:p>
    <w:bookmarkEnd w:id="28"/>
    <w:bookmarkStart w:id="29" w:name="references-key-sources"/>
    <w:p>
      <w:pPr>
        <w:pStyle w:val="Heading2"/>
      </w:pPr>
      <w:r>
        <w:t xml:space="preserve">9. References (Key Sources)</w:t>
      </w:r>
    </w:p>
    <w:p>
      <w:pPr>
        <w:pStyle w:val="FirstParagraph"/>
      </w:pPr>
      <w:r>
        <w:t xml:space="preserve">Ministry of Health Malaysia. (2019). *National Health and Morbidity Survey Report*. Kuala Lumpur.</w:t>
      </w:r>
      <w:r>
        <w:br/>
      </w:r>
      <w:r>
        <w:t xml:space="preserve">Malaysian Optometric Association. (2023). *Scope of Practice Review: Current Challenges in Urban Malaysia*.</w:t>
      </w:r>
      <w:r>
        <w:br/>
      </w:r>
      <w:r>
        <w:t xml:space="preserve">World Health Organization. (2021). *Global Vision Report: Southeast Asia Focus*.</w:t>
      </w:r>
      <w:r>
        <w:br/>
      </w:r>
      <w:r>
        <w:t xml:space="preserve">Department of Statistics Malaysia. (2024). *Kuala Lumpur Socioeconomic Atlas*.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Optometrist Services in Malaysia Kuala Lumpur</dc:title>
  <dc:creator/>
  <dc:language>en</dc:language>
  <cp:keywords/>
  <dcterms:created xsi:type="dcterms:W3CDTF">2026-07-21T04:56:29Z</dcterms:created>
  <dcterms:modified xsi:type="dcterms:W3CDTF">2026-07-21T04:56:29Z</dcterms:modified>
</cp:coreProperties>
</file>

<file path=docProps/custom.xml><?xml version="1.0" encoding="utf-8"?>
<Properties xmlns="http://schemas.openxmlformats.org/officeDocument/2006/custom-properties" xmlns:vt="http://schemas.openxmlformats.org/officeDocument/2006/docPropsVTypes"/>
</file>