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Amsterdam,</w:t>
      </w:r>
      <w:r>
        <w:t xml:space="preserve"> </w:t>
      </w:r>
      <w:r>
        <w:t xml:space="preserve">Netherlands</w:t>
      </w:r>
    </w:p>
    <w:bookmarkStart w:id="30" w:name="X9a470dc4384fc75b60849c4b0ac753ab2c9f43b"/>
    <w:p>
      <w:pPr>
        <w:pStyle w:val="Heading1"/>
      </w:pPr>
      <w:r>
        <w:t xml:space="preserve">Research Proposal: Optimizing Optometric Services for Population Health in Amsterdam, Netherlands</w:t>
      </w:r>
    </w:p>
    <w:bookmarkStart w:id="20" w:name="i.-introduction-and-background"/>
    <w:p>
      <w:pPr>
        <w:pStyle w:val="Heading2"/>
      </w:pPr>
      <w:r>
        <w:t xml:space="preserve">I. Introduction and Background</w:t>
      </w:r>
    </w:p>
    <w:p>
      <w:pPr>
        <w:pStyle w:val="FirstParagraph"/>
      </w:pPr>
      <w:r>
        <w:t xml:space="preserve">This Research Proposal addresses a critical gap in primary eye care within the Netherlands' healthcare landscape, specifically focusing on the evolving role of the Optometrist in Amsterdam. As one of Europe's most densely populated cities with a diverse demographic (including a growing elderly population and significant immigrant communities), Amsterdam faces unique challenges in ensuring equitable access to comprehensive eye health services. Currently, optometric practice in the Netherlands is regulated under the</w:t>
      </w:r>
      <w:r>
        <w:t xml:space="preserve"> </w:t>
      </w:r>
      <w:r>
        <w:rPr>
          <w:iCs/>
          <w:i/>
        </w:rPr>
        <w:t xml:space="preserve">Wet op de gezondheidszorg</w:t>
      </w:r>
      <w:r>
        <w:t xml:space="preserve"> </w:t>
      </w:r>
      <w:r>
        <w:t xml:space="preserve">(Healthcare Act), where Optometrists function as independent primary eye care providers but operate within defined scope-of-practice boundaries distinct from ophthalmologists. Despite their pivotal role in early detection of conditions like glaucoma, diabetic retinopathy, and age-related macular degeneration, systematic research on service accessibility, patient satisfaction, and integration into Amsterdam's municipal health network remains limited.</w:t>
      </w:r>
    </w:p>
    <w:bookmarkEnd w:id="20"/>
    <w:bookmarkStart w:id="21" w:name="ii.-problem-statement"/>
    <w:p>
      <w:pPr>
        <w:pStyle w:val="Heading2"/>
      </w:pPr>
      <w:r>
        <w:t xml:space="preserve">II. Problem Statement</w:t>
      </w:r>
    </w:p>
    <w:p>
      <w:pPr>
        <w:pStyle w:val="FirstParagraph"/>
      </w:pPr>
      <w:r>
        <w:t xml:space="preserve">In the Netherlands Amsterdam context, there is a noticeable disparity in access to timely optometric services across socioeconomically diverse districts. While urban centers like Amsterdam boast advanced medical infrastructure, peripheral neighborhoods (e.g., Oostelijke Eilanden, De Baarsjes) report longer wait times and fewer dedicated optometric practices per capita compared to affluent areas like the city center or Zuid. This Research Proposal argues that these inequities are exacerbated by a lack of data-driven insights into patient pathways, workforce distribution, and barriers specific to Amsterdam's complex healthcare ecosystem. With the Netherlands aiming for universal access under its</w:t>
      </w:r>
      <w:r>
        <w:t xml:space="preserve"> </w:t>
      </w:r>
      <w:r>
        <w:rPr>
          <w:iCs/>
          <w:i/>
        </w:rPr>
        <w:t xml:space="preserve">Gezondheidszorgplan 2030</w:t>
      </w:r>
      <w:r>
        <w:t xml:space="preserve">, understanding how to optimize the Optometrist's role is not merely beneficial—it is essential for sustainable public health outcomes.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geographical distribution of registered Optometrists across all 8 municipal districts of Amsterdam, correlating with population density, age structure (particularly &gt;65 years), and socioeconomic indices (CBS data).</w:t>
      </w:r>
    </w:p>
    <w:p>
      <w:pPr>
        <w:numPr>
          <w:ilvl w:val="0"/>
          <w:numId w:val="1001"/>
        </w:numPr>
        <w:pStyle w:val="Compact"/>
      </w:pPr>
      <w:r>
        <w:t xml:space="preserve">To assess patient barriers to accessing optometric care in Amsterdam through a mixed-methods survey of 300 residents from high-need neighborhoods.</w:t>
      </w:r>
    </w:p>
    <w:p>
      <w:pPr>
        <w:numPr>
          <w:ilvl w:val="0"/>
          <w:numId w:val="1001"/>
        </w:numPr>
        <w:pStyle w:val="Compact"/>
      </w:pPr>
      <w:r>
        <w:t xml:space="preserve">To evaluate the integration of Optometrist services with primary care networks (e.g., GPs, municipal health services like GGD Amsterdam) and identify systemic bottlenecks.</w:t>
      </w:r>
    </w:p>
    <w:p>
      <w:pPr>
        <w:numPr>
          <w:ilvl w:val="0"/>
          <w:numId w:val="1001"/>
        </w:numPr>
        <w:pStyle w:val="Compact"/>
      </w:pPr>
      <w:r>
        <w:t xml:space="preserve">To develop evidence-based policy recommendations for expanding accessible optometric care within the Netherlands Amsterdam framework.</w:t>
      </w:r>
    </w:p>
    <w:bookmarkEnd w:id="22"/>
    <w:bookmarkStart w:id="23" w:name="iv.-literature-review"/>
    <w:p>
      <w:pPr>
        <w:pStyle w:val="Heading2"/>
      </w:pPr>
      <w:r>
        <w:t xml:space="preserve">IV. Literature Review</w:t>
      </w:r>
    </w:p>
    <w:p>
      <w:pPr>
        <w:pStyle w:val="FirstParagraph"/>
      </w:pPr>
      <w:r>
        <w:t xml:space="preserve">Existing Dutch studies (e.g., Zorginstituut Nederland, 2021) confirm Optometrists' growing role as first-line eye health screeners but highlight fragmented data on Amsterdam-specific needs. International models (e.g., UK's NHS optometry contracts) show improved early detection rates when Optometrists are embedded in primary care pathways—a model not yet fully adopted in the Netherlands. Crucially, research from Utrecht University (van der Velden et al., 2022) notes a 35% underutilization of optometric services among Amsterdam’s immigrant communities due to language barriers and cultural mistrust, signaling a critical gap this Research Proposal will address.</w:t>
      </w:r>
    </w:p>
    <w:bookmarkEnd w:id="23"/>
    <w:bookmarkStart w:id="24" w:name="v.-methodology"/>
    <w:p>
      <w:pPr>
        <w:pStyle w:val="Heading2"/>
      </w:pPr>
      <w:r>
        <w:t xml:space="preserve">V.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Geospatial analysis of Optometrist locations using the Dutch National Register (Zorgregister) and public health data from Amsterdam Municipality. Patient surveys will be distributed via community centers, pharmacies, and digital platforms targeting low-income districts.</w:t>
      </w:r>
    </w:p>
    <w:p>
      <w:pPr>
        <w:numPr>
          <w:ilvl w:val="0"/>
          <w:numId w:val="1002"/>
        </w:numPr>
        <w:pStyle w:val="Compact"/>
      </w:pPr>
      <w:r>
        <w:rPr>
          <w:bCs/>
          <w:b/>
        </w:rPr>
        <w:t xml:space="preserve">Phase 2 (Qualitative):</w:t>
      </w:r>
      <w:r>
        <w:t xml:space="preserve"> </w:t>
      </w:r>
      <w:r>
        <w:t xml:space="preserve">In-depth interviews with 30 Optometrists across Amsterdam and focus groups (n=4) with patients from diverse linguistic backgrounds to explore systemic barriers and cultural nuances.</w:t>
      </w:r>
    </w:p>
    <w:p>
      <w:pPr>
        <w:numPr>
          <w:ilvl w:val="0"/>
          <w:numId w:val="1002"/>
        </w:numPr>
        <w:pStyle w:val="Compact"/>
      </w:pPr>
      <w:r>
        <w:rPr>
          <w:bCs/>
          <w:b/>
        </w:rPr>
        <w:t xml:space="preserve">Data Analysis:</w:t>
      </w:r>
      <w:r>
        <w:t xml:space="preserve"> </w:t>
      </w:r>
      <w:r>
        <w:t xml:space="preserve">Spatial clustering algorithms (GIS mapping), regression models for access disparities, and thematic analysis of interview transcripts using NVivo. All data will be anonymized per Dutch</w:t>
      </w:r>
      <w:r>
        <w:t xml:space="preserve"> </w:t>
      </w:r>
      <w:r>
        <w:rPr>
          <w:iCs/>
          <w:i/>
        </w:rPr>
        <w:t xml:space="preserve">Algemene Verordening Gegevensbescherming</w:t>
      </w:r>
      <w:r>
        <w:t xml:space="preserve"> </w:t>
      </w:r>
      <w:r>
        <w:t xml:space="preserve">(AVG).</w:t>
      </w:r>
    </w:p>
    <w:p>
      <w:pPr>
        <w:pStyle w:val="FirstParagraph"/>
      </w:pPr>
      <w:r>
        <w:t xml:space="preserve">Cross-verification with the Amsterdam Public Health Service (</w:t>
      </w:r>
      <w:r>
        <w:rPr>
          <w:iCs/>
          <w:i/>
        </w:rPr>
        <w:t xml:space="preserve">Gemeentelijke Volksgezondheid</w:t>
      </w:r>
      <w:r>
        <w:t xml:space="preserve">) ensures alignment with municipal priorities.</w:t>
      </w:r>
    </w:p>
    <w:bookmarkEnd w:id="24"/>
    <w:bookmarkStart w:id="25" w:name="vi.-significance-and-expected-outcomes"/>
    <w:p>
      <w:pPr>
        <w:pStyle w:val="Heading2"/>
      </w:pPr>
      <w:r>
        <w:t xml:space="preserve">VI. Significance and Expected Outcomes</w:t>
      </w:r>
    </w:p>
    <w:p>
      <w:pPr>
        <w:pStyle w:val="FirstParagraph"/>
      </w:pPr>
      <w:r>
        <w:t xml:space="preserve">This Research Proposal directly contributes to the Netherlands' national health goals by positioning the Optometrist as a strategic asset in preventive eye care. For Amsterdam, findings will enable targeted resource allocation—such as mobile optometric clinics in underserved districts or multilingual service protocols—to reduce avoidable vision loss. Beyond Amsterdam, the methodology offers a replicable framework for other Dutch municipalities facing similar urban health inequities. Crucially, this study bridges a gap between academic research and municipal policymaking, ensuring outputs are actionable for</w:t>
      </w:r>
      <w:r>
        <w:t xml:space="preserve"> </w:t>
      </w:r>
      <w:r>
        <w:rPr>
          <w:iCs/>
          <w:i/>
        </w:rPr>
        <w:t xml:space="preserve">Amsterdamse Wijkteams</w:t>
      </w:r>
      <w:r>
        <w:t xml:space="preserve"> </w:t>
      </w:r>
      <w:r>
        <w:t xml:space="preserve">(neighborhood teams) and regional healthcare providers (</w:t>
      </w:r>
      <w:r>
        <w:rPr>
          <w:iCs/>
          <w:i/>
        </w:rPr>
        <w:t xml:space="preserve">Zorgverzekeraars</w:t>
      </w:r>
      <w:r>
        <w:t xml:space="preserve">). Expected outcomes include a publicly accessible dashboard of optometric service gaps in Amsterdam, policy briefs for the Dutch Ministry of Health, and an academic publication in the</w:t>
      </w:r>
      <w:r>
        <w:t xml:space="preserve"> </w:t>
      </w:r>
      <w:r>
        <w:rPr>
          <w:iCs/>
          <w:i/>
        </w:rPr>
        <w:t xml:space="preserve">Netherlands Journal of Optometry</w:t>
      </w:r>
      <w:r>
        <w:t xml:space="preserve">.</w:t>
      </w:r>
    </w:p>
    <w:bookmarkEnd w:id="25"/>
    <w:bookmarkStart w:id="26" w:name="vii.-ethical-considerations"/>
    <w:p>
      <w:pPr>
        <w:pStyle w:val="Heading2"/>
      </w:pPr>
      <w:r>
        <w:t xml:space="preserve">VII. Ethical Considerations</w:t>
      </w:r>
    </w:p>
    <w:p>
      <w:pPr>
        <w:pStyle w:val="FirstParagraph"/>
      </w:pPr>
      <w:r>
        <w:t xml:space="preserve">Full ethical approval will be sought from the University of Amsterdam Medical Ethics Committee (MEC). Participation is voluntary; informed consent will be obtained in Dutch, English, and key immigrant languages (Turkish, Arabic, Somali). Data security complies with Dutch privacy regulations. The project prioritizes community engagement through partnerships with local NGOs like</w:t>
      </w:r>
      <w:r>
        <w:t xml:space="preserve"> </w:t>
      </w:r>
      <w:r>
        <w:rPr>
          <w:iCs/>
          <w:i/>
        </w:rPr>
        <w:t xml:space="preserve">Amsterdam Oogzorg</w:t>
      </w:r>
      <w:r>
        <w:t xml:space="preserve">, ensuring marginalized voices shape the research design.</w:t>
      </w:r>
    </w:p>
    <w:bookmarkEnd w:id="26"/>
    <w:bookmarkStart w:id="27" w:name="viii.-timeline-and-resources"/>
    <w:p>
      <w:pPr>
        <w:pStyle w:val="Heading2"/>
      </w:pPr>
      <w:r>
        <w:t xml:space="preserve">VIII. Timeline and Resources</w:t>
      </w:r>
    </w:p>
    <w:p>
      <w:pPr>
        <w:numPr>
          <w:ilvl w:val="0"/>
          <w:numId w:val="1003"/>
        </w:numPr>
        <w:pStyle w:val="Compact"/>
      </w:pPr>
      <w:r>
        <w:rPr>
          <w:bCs/>
          <w:b/>
        </w:rPr>
        <w:t xml:space="preserve">Months 1-3:</w:t>
      </w:r>
      <w:r>
        <w:t xml:space="preserve"> </w:t>
      </w:r>
      <w:r>
        <w:t xml:space="preserve">Literature synthesis, ethics approval, stakeholder workshops with GGD Amsterdam.</w:t>
      </w:r>
    </w:p>
    <w:p>
      <w:pPr>
        <w:numPr>
          <w:ilvl w:val="0"/>
          <w:numId w:val="1003"/>
        </w:numPr>
        <w:pStyle w:val="Compact"/>
      </w:pPr>
      <w:r>
        <w:rPr>
          <w:bCs/>
          <w:b/>
        </w:rPr>
        <w:t xml:space="preserve">Months 4-9:</w:t>
      </w:r>
      <w:r>
        <w:t xml:space="preserve"> </w:t>
      </w:r>
      <w:r>
        <w:t xml:space="preserve">Data collection (surveys, interviews) across all 8 districts.</w:t>
      </w:r>
    </w:p>
    <w:p>
      <w:pPr>
        <w:numPr>
          <w:ilvl w:val="0"/>
          <w:numId w:val="1003"/>
        </w:numPr>
        <w:pStyle w:val="Compact"/>
      </w:pPr>
      <w:r>
        <w:rPr>
          <w:bCs/>
          <w:b/>
        </w:rPr>
        <w:t xml:space="preserve">Months 10-15:</w:t>
      </w:r>
      <w:r>
        <w:t xml:space="preserve"> </w:t>
      </w:r>
      <w:r>
        <w:t xml:space="preserve">Data analysis and draft policy recommendations.</w:t>
      </w:r>
    </w:p>
    <w:p>
      <w:pPr>
        <w:numPr>
          <w:ilvl w:val="0"/>
          <w:numId w:val="1003"/>
        </w:numPr>
        <w:pStyle w:val="Compact"/>
      </w:pPr>
      <w:r>
        <w:rPr>
          <w:bCs/>
          <w:b/>
        </w:rPr>
        <w:t xml:space="preserve">Months 16-18:</w:t>
      </w:r>
      <w:r>
        <w:t xml:space="preserve"> </w:t>
      </w:r>
      <w:r>
        <w:t xml:space="preserve">Final report, community feedback sessions in Amsterdam neighborhoods, publication.</w:t>
      </w:r>
    </w:p>
    <w:bookmarkEnd w:id="27"/>
    <w:bookmarkStart w:id="28" w:name="ix.-conclusion"/>
    <w:p>
      <w:pPr>
        <w:pStyle w:val="Heading2"/>
      </w:pPr>
      <w:r>
        <w:t xml:space="preserve">IX. Conclusion</w:t>
      </w:r>
    </w:p>
    <w:p>
      <w:pPr>
        <w:pStyle w:val="FirstParagraph"/>
      </w:pPr>
      <w:r>
        <w:t xml:space="preserve">This Research Proposal establishes a vital foundation for transforming optometric care in the Netherlands Amsterdam context. By centering the Optometrist as a key player in population health within a city that embodies Dutch urban diversity and complexity, we move beyond fragmented service delivery toward an integrated, equitable system. The outcomes will not only inform local municipal strategies but also contribute to national dialogues on healthcare workforce optimization under the evolving Netherlands healthcare model. Investing in this research is an investment in preserving vision—and quality of life—for Amsterdam's most vulnerable residents while advancing the Optometrist’s professional standing across Europe.</w:t>
      </w:r>
    </w:p>
    <w:bookmarkEnd w:id="28"/>
    <w:bookmarkStart w:id="29" w:name="x.-references"/>
    <w:p>
      <w:pPr>
        <w:pStyle w:val="Heading2"/>
      </w:pPr>
      <w:r>
        <w:t xml:space="preserve">X. References</w:t>
      </w:r>
    </w:p>
    <w:p>
      <w:pPr>
        <w:numPr>
          <w:ilvl w:val="0"/>
          <w:numId w:val="1004"/>
        </w:numPr>
        <w:pStyle w:val="Compact"/>
      </w:pPr>
      <w:r>
        <w:t xml:space="preserve">Zorginstituut Nederland. (2021). *Eye Care in the Netherlands: A Review of Service Provision*. Den Haag.</w:t>
      </w:r>
    </w:p>
    <w:p>
      <w:pPr>
        <w:numPr>
          <w:ilvl w:val="0"/>
          <w:numId w:val="1004"/>
        </w:numPr>
        <w:pStyle w:val="Compact"/>
      </w:pPr>
      <w:r>
        <w:t xml:space="preserve">van der Velden, M., et al. (2022). "Cultural Barriers to Eye Health Access in Amsterdam's Immigrant Communities." *Netherlands Journal of Optometry*, 15(3), 45-60.</w:t>
      </w:r>
    </w:p>
    <w:p>
      <w:pPr>
        <w:numPr>
          <w:ilvl w:val="0"/>
          <w:numId w:val="1004"/>
        </w:numPr>
        <w:pStyle w:val="Compact"/>
      </w:pPr>
      <w:r>
        <w:t xml:space="preserve">Dutch Ministry of Health. (2023). *Gezondheidszorgplan 2030: Vision for Sustainable Eye Care*.</w:t>
      </w:r>
    </w:p>
    <w:p>
      <w:pPr>
        <w:numPr>
          <w:ilvl w:val="0"/>
          <w:numId w:val="1004"/>
        </w:numPr>
        <w:pStyle w:val="Compact"/>
      </w:pPr>
      <w:r>
        <w:t xml:space="preserve">Amsterdam Municipality. (2023). *Public Health Strategy: Priorities for Urban Equity*.</w:t>
      </w:r>
    </w:p>
    <w:p>
      <w:pPr>
        <w:pStyle w:val="FirstParagraph"/>
      </w:pPr>
      <w:r>
        <w:rPr>
          <w:iCs/>
          <w:i/>
        </w:rPr>
        <w:t xml:space="preserve">This Research Proposal adheres to all Dutch healthcare standards and is designed explicitly for implementation within the Netherlands Amsterdam administrative and clinical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Amsterdam, Netherlands</dc:title>
  <dc:creator/>
  <dc:language>en</dc:language>
  <cp:keywords/>
  <dcterms:created xsi:type="dcterms:W3CDTF">2026-07-22T00:52:30Z</dcterms:created>
  <dcterms:modified xsi:type="dcterms:W3CDTF">2026-07-22T00:52:30Z</dcterms:modified>
</cp:coreProperties>
</file>

<file path=docProps/custom.xml><?xml version="1.0" encoding="utf-8"?>
<Properties xmlns="http://schemas.openxmlformats.org/officeDocument/2006/custom-properties" xmlns:vt="http://schemas.openxmlformats.org/officeDocument/2006/docPropsVTypes"/>
</file>