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Russia</w:t>
      </w:r>
      <w:r>
        <w:t xml:space="preserve"> </w:t>
      </w:r>
      <w:r>
        <w:t xml:space="preserve">Moscow</w:t>
      </w:r>
    </w:p>
    <w:bookmarkStart w:id="28" w:name="X2f68b11e1177a045bd4d0993512ddaa00d39dd6"/>
    <w:p>
      <w:pPr>
        <w:pStyle w:val="Heading1"/>
      </w:pPr>
      <w:r>
        <w:t xml:space="preserve">Research Proposal: Enhancing Professional Standards and Accessibility of Optometrists in Moscow, Russia</w:t>
      </w:r>
    </w:p>
    <w:bookmarkStart w:id="20" w:name="introduction-and-background"/>
    <w:p>
      <w:pPr>
        <w:pStyle w:val="Heading2"/>
      </w:pPr>
      <w:r>
        <w:t xml:space="preserve">1. Introduction and Background</w:t>
      </w:r>
    </w:p>
    <w:p>
      <w:pPr>
        <w:pStyle w:val="FirstParagraph"/>
      </w:pPr>
      <w:r>
        <w:t xml:space="preserve">The field of optometry in Russia has undergone significant transformation in recent decades, yet critical gaps persist in professional standards, public awareness, and service accessibility—particularly within the rapidly growing urban landscape of Moscow. As the capital city of Russia with a population exceeding 13 million residents, Moscow represents both a microcosm and an epicenter for ophthalmic healthcare challenges. Despite the presence of skilled optometrists in specialized clinics and academic institutions, fragmented regulatory frameworks, inconsistent training protocols, and limited public understanding of optometric roles create barriers to comprehensive eye care. This Research Proposal addresses these systemic issues by focusing on the pivotal role of the</w:t>
      </w:r>
      <w:r>
        <w:t xml:space="preserve"> </w:t>
      </w:r>
      <w:r>
        <w:rPr>
          <w:iCs/>
          <w:i/>
        </w:rPr>
        <w:t xml:space="preserve">Optometrist</w:t>
      </w:r>
      <w:r>
        <w:t xml:space="preserve"> </w:t>
      </w:r>
      <w:r>
        <w:t xml:space="preserve">within Russia's healthcare ecosystem. The study seeks to develop evidence-based strategies to elevate optometric practice standards in Moscow, directly contributing to improved visual health outcomes for Russian citizens.</w:t>
      </w:r>
    </w:p>
    <w:bookmarkEnd w:id="20"/>
    <w:bookmarkStart w:id="21" w:name="problem-statement"/>
    <w:p>
      <w:pPr>
        <w:pStyle w:val="Heading2"/>
      </w:pPr>
      <w:r>
        <w:t xml:space="preserve">2. Problem Statement</w:t>
      </w:r>
    </w:p>
    <w:p>
      <w:pPr>
        <w:pStyle w:val="FirstParagraph"/>
      </w:pPr>
      <w:r>
        <w:t xml:space="preserve">In Moscow, the demand for advanced eye care services is rising exponentially due to aging demographics, increased screen time exposure among urban populations, and higher prevalence of digital eye strain. However, current optometric services in Russia often operate under outdated models where general ophthalmologists dominate primary vision care—leaving specialized optometric functions (e.g., low-vision rehabilitation, pediatric eye exams, contact lens fitting) underutilized. Crucially, the</w:t>
      </w:r>
      <w:r>
        <w:t xml:space="preserve"> </w:t>
      </w:r>
      <w:r>
        <w:rPr>
          <w:iCs/>
          <w:i/>
        </w:rPr>
        <w:t xml:space="preserve">Optometrist</w:t>
      </w:r>
      <w:r>
        <w:t xml:space="preserve"> </w:t>
      </w:r>
      <w:r>
        <w:t xml:space="preserve">is not uniformly recognized as an independent healthcare provider across Russia Moscow; many clinics still treat them as technicians rather than clinicians. This misalignment results in: (a) inefficient resource allocation in public hospitals, (b) limited patient access to timely preventive care, and (c) professional demotivation among optometrists seeking career advancement. A systematic analysis of these challenges is urgently needed to align Moscow's optometric practices with international standards.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of practice, professional development pathways, and patient accessibility for Optometrists in Moscow.</w:t>
      </w:r>
    </w:p>
    <w:p>
      <w:pPr>
        <w:pStyle w:val="BodyText"/>
      </w:pPr>
      <w:r>
        <w:rPr>
          <w:bCs/>
          <w:b/>
        </w:rPr>
        <w:t xml:space="preserve">Secondary Objectives:</w:t>
      </w:r>
    </w:p>
    <w:p>
      <w:pPr>
        <w:pStyle w:val="BodyText"/>
      </w:pPr>
      <w:r>
        <w:t xml:space="preserve">Assess regulatory barriers to independent optometric practice under Russia's healthcare legislation.</w:t>
      </w:r>
    </w:p>
    <w:p>
      <w:pPr>
        <w:numPr>
          <w:ilvl w:val="0"/>
          <w:numId w:val="1001"/>
        </w:numPr>
        <w:pStyle w:val="Compact"/>
      </w:pPr>
      <w:r>
        <w:t xml:space="preserve">(Specific focus: Article 43 of the Russian Federal Law "On Healthcare" regarding professional recognition)</w:t>
      </w:r>
    </w:p>
    <w:p>
      <w:pPr>
        <w:pStyle w:val="FirstParagraph"/>
      </w:pPr>
      <w:r>
        <w:t xml:space="preserve">Compare service models in Moscow public vs. private clinics to identify best practices for Optometrist integration.</w:t>
      </w:r>
    </w:p>
    <w:p>
      <w:pPr>
        <w:pStyle w:val="BodyText"/>
      </w:pPr>
      <w:r>
        <w:t xml:space="preserve">Quantify public awareness levels about optometric services through a city-wide survey targeting Moscow residents aged 18–65.</w:t>
      </w:r>
    </w:p>
    <w:p>
      <w:pPr>
        <w:pStyle w:val="BodyText"/>
      </w:pPr>
      <w:r>
        <w:t xml:space="preserve">Develop a standardized framework for optometric education curricula tailored to Moscow's healthcare needs, in collaboration with Russian universities (e.g., Moscow State University of Medicine and Dentistry).</w:t>
      </w:r>
    </w:p>
    <w:bookmarkEnd w:id="22"/>
    <w:bookmarkStart w:id="23" w:name="literature-review"/>
    <w:p>
      <w:pPr>
        <w:pStyle w:val="Heading2"/>
      </w:pPr>
      <w:r>
        <w:t xml:space="preserve">4. Literature Review</w:t>
      </w:r>
    </w:p>
    <w:p>
      <w:pPr>
        <w:pStyle w:val="FirstParagraph"/>
      </w:pPr>
      <w:r>
        <w:t xml:space="preserve">While global literature supports the economic and health benefits of integrating Optometrists into primary eye care networks (e.g., studies from the U.S. Vision Council, WHO reports), Russia lacks context-specific research. A 2021 study in</w:t>
      </w:r>
      <w:r>
        <w:t xml:space="preserve"> </w:t>
      </w:r>
      <w:r>
        <w:rPr>
          <w:iCs/>
          <w:i/>
        </w:rPr>
        <w:t xml:space="preserve">Ophthalmology Russia</w:t>
      </w:r>
      <w:r>
        <w:t xml:space="preserve"> </w:t>
      </w:r>
      <w:r>
        <w:t xml:space="preserve">noted that only 37% of Moscow clinics employ dedicated optometrists, and 68% of patients were unaware of their scope beyond basic vision screening. Conversely, countries like the UK and Australia—where Optometrists are legally recognized as first-contact eye care providers—report 25–40% reductions in ophthalmology referral rates. In Russia Moscow, recent reforms under the Ministry of Health's "Digital Transformation Plan" (2023) have created a policy window for redefining optometric roles, yet no academic work has analyzed this opportunity. This Research Proposal bridges this gap by centering Moscow as a test case for systemic change in Russia's eye care landscape.</w:t>
      </w:r>
    </w:p>
    <w:bookmarkEnd w:id="23"/>
    <w:bookmarkStart w:id="24" w:name="methodology"/>
    <w:p>
      <w:pPr>
        <w:pStyle w:val="Heading2"/>
      </w:pPr>
      <w:r>
        <w:t xml:space="preserve">5. Methodology</w:t>
      </w:r>
    </w:p>
    <w:p>
      <w:pPr>
        <w:pStyle w:val="FirstParagraph"/>
      </w:pPr>
      <w:r>
        <w:t xml:space="preserve">This mixed-methods study will deploy a three-phase approach across 15 representative clinics in Moscow (5 public hospitals, 5 private practices, 5 university-affiliated centers):</w:t>
      </w:r>
    </w:p>
    <w:p>
      <w:pPr>
        <w:numPr>
          <w:ilvl w:val="0"/>
          <w:numId w:val="1002"/>
        </w:numPr>
        <w:pStyle w:val="Compact"/>
      </w:pPr>
      <w:r>
        <w:rPr>
          <w:bCs/>
          <w:b/>
        </w:rPr>
        <w:t xml:space="preserve">Phase 1: Regulatory and Clinical Audit (Months 1–3)</w:t>
      </w:r>
      <w:r>
        <w:t xml:space="preserve"> </w:t>
      </w:r>
      <w:r>
        <w:t xml:space="preserve">- Review of Russian healthcare legislation, clinic protocols, and optometrist licensing records.</w:t>
      </w:r>
      <w:r>
        <w:t xml:space="preserve"> </w:t>
      </w:r>
      <w:r>
        <w:t xml:space="preserve">- Structured interviews with 30 Optometrists across Moscow to document workflow challenges.</w:t>
      </w:r>
    </w:p>
    <w:p>
      <w:pPr>
        <w:numPr>
          <w:ilvl w:val="0"/>
          <w:numId w:val="1002"/>
        </w:numPr>
        <w:pStyle w:val="Compact"/>
      </w:pPr>
      <w:r>
        <w:rPr>
          <w:bCs/>
          <w:b/>
        </w:rPr>
        <w:t xml:space="preserve">Phase 2: Stakeholder Engagement (Months 4–6)</w:t>
      </w:r>
      <w:r>
        <w:t xml:space="preserve"> </w:t>
      </w:r>
      <w:r>
        <w:t xml:space="preserve">- Survey of 1,500 Moscow residents (stratified by age/neighborhood) via mobile apps and community centers.</w:t>
      </w:r>
      <w:r>
        <w:t xml:space="preserve"> </w:t>
      </w:r>
      <w:r>
        <w:t xml:space="preserve">- Focus groups with key policymakers (Ministry of Health, Russian Optometric Association).</w:t>
      </w:r>
    </w:p>
    <w:p>
      <w:pPr>
        <w:numPr>
          <w:ilvl w:val="0"/>
          <w:numId w:val="1002"/>
        </w:numPr>
        <w:pStyle w:val="Compact"/>
      </w:pPr>
      <w:r>
        <w:rPr>
          <w:bCs/>
          <w:b/>
        </w:rPr>
        <w:t xml:space="preserve">Phase 3: Model Development &amp; Validation (Months 7–12)</w:t>
      </w:r>
      <w:r>
        <w:t xml:space="preserve"> </w:t>
      </w:r>
      <w:r>
        <w:t xml:space="preserve">- Co-creation workshop with Moscow optometry schools to design an enhanced curriculum.</w:t>
      </w:r>
      <w:r>
        <w:t xml:space="preserve"> </w:t>
      </w:r>
      <w:r>
        <w:t xml:space="preserve">- Simulation testing of proposed service models in 3 pilot clinics.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actionable outcomes for Russia Moscow:</w:t>
      </w:r>
    </w:p>
    <w:p>
      <w:pPr>
        <w:numPr>
          <w:ilvl w:val="0"/>
          <w:numId w:val="1003"/>
        </w:numPr>
        <w:pStyle w:val="Compact"/>
      </w:pPr>
      <w:r>
        <w:rPr>
          <w:bCs/>
          <w:b/>
        </w:rPr>
        <w:t xml:space="preserve">Policy Brief:</w:t>
      </w:r>
      <w:r>
        <w:t xml:space="preserve"> </w:t>
      </w:r>
      <w:r>
        <w:t xml:space="preserve">A legislative roadmap to recognize Optometrists as independent primary eye care providers under Russian law.</w:t>
      </w:r>
    </w:p>
    <w:p>
      <w:pPr>
        <w:numPr>
          <w:ilvl w:val="0"/>
          <w:numId w:val="1003"/>
        </w:numPr>
        <w:pStyle w:val="Compact"/>
      </w:pPr>
      <w:r>
        <w:rPr>
          <w:bCs/>
          <w:b/>
        </w:rPr>
        <w:t xml:space="preserve">Training Framework:</w:t>
      </w:r>
      <w:r>
        <w:t xml:space="preserve"> </w:t>
      </w:r>
      <w:r>
        <w:t xml:space="preserve">A curriculum for Moscow-based optometry education emphasizing digital diagnostics, pediatric care, and chronic disease management (e.g., diabetic retinopathy screening).</w:t>
      </w:r>
    </w:p>
    <w:p>
      <w:pPr>
        <w:numPr>
          <w:ilvl w:val="0"/>
          <w:numId w:val="1003"/>
        </w:numPr>
        <w:pStyle w:val="Compact"/>
      </w:pPr>
      <w:r>
        <w:rPr>
          <w:bCs/>
          <w:b/>
        </w:rPr>
        <w:t xml:space="preserve">Economic Impact Analysis:</w:t>
      </w:r>
      <w:r>
        <w:t xml:space="preserve"> </w:t>
      </w:r>
      <w:r>
        <w:t xml:space="preserve">Quantification of cost savings from reduced ophthalmologist referrals—projected to decrease public healthcare expenditure by 15–20% in Moscow over 5 years.</w:t>
      </w:r>
    </w:p>
    <w:p>
      <w:pPr>
        <w:numPr>
          <w:ilvl w:val="0"/>
          <w:numId w:val="1003"/>
        </w:numPr>
        <w:pStyle w:val="Compact"/>
      </w:pPr>
      <w:r>
        <w:rPr>
          <w:bCs/>
          <w:b/>
        </w:rPr>
        <w:t xml:space="preserve">Public Awareness Toolkit:</w:t>
      </w:r>
      <w:r>
        <w:t xml:space="preserve"> </w:t>
      </w:r>
      <w:r>
        <w:t xml:space="preserve">Multilingual (Russian/English) digital resources to educate Moscow residents on Optometrist services.</w:t>
      </w:r>
    </w:p>
    <w:p>
      <w:pPr>
        <w:pStyle w:val="FirstParagraph"/>
      </w:pPr>
      <w:r>
        <w:t xml:space="preserve">The significance extends beyond Moscow: As the capital of Russia, successful implementation here will establish a replicable model for 30+ other Russian regions. Crucially, this work addresses WHO’s "Universal Eye Health" targets by positioning the Optometrist as a frontline guardian of visual health—a role long overdue in Russia Moscow.</w:t>
      </w:r>
    </w:p>
    <w:bookmarkEnd w:id="25"/>
    <w:bookmarkStart w:id="26" w:name="timeline-and-resources"/>
    <w:p>
      <w:pPr>
        <w:pStyle w:val="Heading2"/>
      </w:pPr>
      <w:r>
        <w:t xml:space="preserve">7. Timeline and Resources</w:t>
      </w:r>
    </w:p>
    <w:p>
      <w:pPr>
        <w:pStyle w:val="FirstParagraph"/>
      </w:pPr>
      <w:r>
        <w:t xml:space="preserve">The 12-month project will require:</w:t>
      </w:r>
    </w:p>
    <w:p>
      <w:pPr>
        <w:numPr>
          <w:ilvl w:val="0"/>
          <w:numId w:val="1004"/>
        </w:numPr>
        <w:pStyle w:val="Compact"/>
      </w:pPr>
      <w:r>
        <w:rPr>
          <w:bCs/>
          <w:b/>
        </w:rPr>
        <w:t xml:space="preserve">Personnel:</w:t>
      </w:r>
      <w:r>
        <w:t xml:space="preserve"> </w:t>
      </w:r>
      <w:r>
        <w:t xml:space="preserve">Lead researcher (optometry specialist), 3 field coordinators, statistician, policy advisor.</w:t>
      </w:r>
    </w:p>
    <w:p>
      <w:pPr>
        <w:numPr>
          <w:ilvl w:val="0"/>
          <w:numId w:val="1004"/>
        </w:numPr>
        <w:pStyle w:val="Compact"/>
      </w:pPr>
      <w:r>
        <w:rPr>
          <w:bCs/>
          <w:b/>
        </w:rPr>
        <w:t xml:space="preserve">Partnerships:</w:t>
      </w:r>
      <w:r>
        <w:t xml:space="preserve"> </w:t>
      </w:r>
      <w:r>
        <w:t xml:space="preserve">Collaboration with Moscow Health Department, Russian Optometric Association, and Moscow State University of Medicine.</w:t>
      </w:r>
    </w:p>
    <w:p>
      <w:pPr>
        <w:numPr>
          <w:ilvl w:val="0"/>
          <w:numId w:val="1004"/>
        </w:numPr>
        <w:pStyle w:val="Compact"/>
      </w:pPr>
      <w:r>
        <w:rPr>
          <w:bCs/>
          <w:b/>
        </w:rPr>
        <w:t xml:space="preserve">Milestones:</w:t>
      </w:r>
    </w:p>
    <w:p>
      <w:pPr>
        <w:numPr>
          <w:ilvl w:val="1"/>
          <w:numId w:val="1005"/>
        </w:numPr>
        <w:pStyle w:val="Compact"/>
      </w:pPr>
      <w:r>
        <w:t xml:space="preserve">Month 3: Regulatory analysis completed; stakeholder mapping finalized.</w:t>
      </w:r>
    </w:p>
    <w:p>
      <w:pPr>
        <w:numPr>
          <w:ilvl w:val="1"/>
          <w:numId w:val="1005"/>
        </w:numPr>
        <w:pStyle w:val="Compact"/>
      </w:pPr>
      <w:r>
        <w:t xml:space="preserve">Month 6: Survey data collection and initial policy draft released to Ministry of Health.</w:t>
      </w:r>
    </w:p>
    <w:p>
      <w:pPr>
        <w:numPr>
          <w:ilvl w:val="1"/>
          <w:numId w:val="1005"/>
        </w:numPr>
        <w:pStyle w:val="Compact"/>
      </w:pPr>
      <w:r>
        <w:t xml:space="preserve">Month 9: Curriculum prototype validated with optometry schools.</w:t>
      </w:r>
    </w:p>
    <w:p>
      <w:pPr>
        <w:numPr>
          <w:ilvl w:val="1"/>
          <w:numId w:val="1005"/>
        </w:numPr>
        <w:pStyle w:val="Compact"/>
      </w:pPr>
      <w:r>
        <w:t xml:space="preserve">Month 12: Final report, toolkit deployment, and national conference in Moscow.</w:t>
      </w:r>
    </w:p>
    <w:bookmarkEnd w:id="26"/>
    <w:bookmarkStart w:id="27" w:name="conclusion"/>
    <w:p>
      <w:pPr>
        <w:pStyle w:val="Heading2"/>
      </w:pPr>
      <w:r>
        <w:t xml:space="preserve">8. Conclusion</w:t>
      </w:r>
    </w:p>
    <w:p>
      <w:pPr>
        <w:pStyle w:val="FirstParagraph"/>
      </w:pPr>
      <w:r>
        <w:t xml:space="preserve">The future of vision health in Russia Moscow hinges on redefining the Optometrist’s role from supplementary to central. This Research Proposal provides a rigorous, actionable blueprint to transform optometric practice within the unique context of Russia’s capital city—addressing systemic gaps while aligning with national healthcare priorities. By centering Moscow as our study site, we ensure immediate impact for its 13 million residents while creating a scalable model for Russia's entire population. The ultimate goal is not merely academic: it is to empower every Optometrist in Russia Moscow to become a trusted, independent advocate for visual wellness. As healthcare evolves in the 21st century, this research positions optometry as indispensable—not just for Moscow’s citizens, but for the future of eye care across Russia.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Russia Moscow</dc:title>
  <dc:creator/>
  <dc:language>en</dc:language>
  <cp:keywords/>
  <dcterms:created xsi:type="dcterms:W3CDTF">2025-12-10T06:29:32Z</dcterms:created>
  <dcterms:modified xsi:type="dcterms:W3CDTF">2025-12-10T06:29:32Z</dcterms:modified>
</cp:coreProperties>
</file>

<file path=docProps/custom.xml><?xml version="1.0" encoding="utf-8"?>
<Properties xmlns="http://schemas.openxmlformats.org/officeDocument/2006/custom-properties" xmlns:vt="http://schemas.openxmlformats.org/officeDocument/2006/docPropsVTypes"/>
</file>