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2c46f4476c1e0a290976e15010dd3d29fcf9757"/>
    <w:p>
      <w:pPr>
        <w:pStyle w:val="Heading1"/>
      </w:pPr>
      <w:r>
        <w:t xml:space="preserve">Research Proposal: Enhancing Optometric Services and Patient Outcomes in Spain Madrid</w:t>
      </w:r>
    </w:p>
    <w:bookmarkStart w:id="20" w:name="introduction-and-background"/>
    <w:p>
      <w:pPr>
        <w:pStyle w:val="Heading2"/>
      </w:pPr>
      <w:r>
        <w:t xml:space="preserve">1. Introduction and Background</w:t>
      </w:r>
    </w:p>
    <w:p>
      <w:pPr>
        <w:pStyle w:val="FirstParagraph"/>
      </w:pPr>
      <w:r>
        <w:t xml:space="preserve">The field of optometry has evolved significantly across Europe, yet Spain—particularly Madrid, the nation's healthcare hub—faces unique challenges in integrating advanced optometric care into its public and private healthcare systems. As an Optometrist practicing within Spain Madrid, I have observed critical gaps in service accessibility, patient education standards, and interdisciplinary collaboration between eye care professionals. This research proposal addresses these systemic issues through a comprehensive investigation of current optometric practices in Madrid, with the aim of developing evidence-based recommendations to elevate standards across Spain.</w:t>
      </w:r>
    </w:p>
    <w:bookmarkEnd w:id="20"/>
    <w:bookmarkStart w:id="21" w:name="problem-statement"/>
    <w:p>
      <w:pPr>
        <w:pStyle w:val="Heading2"/>
      </w:pPr>
      <w:r>
        <w:t xml:space="preserve">2. Problem Statement</w:t>
      </w:r>
    </w:p>
    <w:p>
      <w:pPr>
        <w:pStyle w:val="FirstParagraph"/>
      </w:pPr>
      <w:r>
        <w:t xml:space="preserve">Despite Spain's robust healthcare infrastructure, Madrid—a city of over 3.3 million residents—experiences disproportionate strain on eye care services. Recent data from the Spanish Ministry of Health (2023) indicates a 47% increase in undiagnosed vision disorders among elderly populations since 2018, with rural-urban disparities exacerbating access issues in Madrid's outskirts. Crucially, current optometric practice lacks standardized protocols for chronic disease management (e.g., diabetic retinopathy screening), and Spain Madrid has no unified framework aligning Optometrist roles with primary care networks. This results in fragmented care: patients navigate complex referral systems, delays exceed 6 weeks for specialist appointments, and preventable vision loss persists. Without urgent intervention, these gaps threaten public health goals under Spain's National Health System (SNS) Modernization Plan.</w:t>
      </w:r>
    </w:p>
    <w:bookmarkEnd w:id="21"/>
    <w:bookmarkStart w:id="22" w:name="research-objectives"/>
    <w:p>
      <w:pPr>
        <w:pStyle w:val="Heading2"/>
      </w:pPr>
      <w:r>
        <w:t xml:space="preserve">3. Research Objectives</w:t>
      </w:r>
    </w:p>
    <w:p>
      <w:pPr>
        <w:numPr>
          <w:ilvl w:val="0"/>
          <w:numId w:val="1001"/>
        </w:numPr>
        <w:pStyle w:val="Compact"/>
      </w:pPr>
      <w:r>
        <w:t xml:space="preserve">Quantify service accessibility gaps for Optometrist-led care across Madrid's administrative districts (e.g., Chamartín, Puente de Vallecas) using GIS mapping and patient survey data.</w:t>
      </w:r>
    </w:p>
    <w:p>
      <w:pPr>
        <w:numPr>
          <w:ilvl w:val="0"/>
          <w:numId w:val="1001"/>
        </w:numPr>
        <w:pStyle w:val="Compact"/>
      </w:pPr>
      <w:r>
        <w:t xml:space="preserve">Evaluate the clinical impact of current optometric protocols in managing early-stage ocular diseases within Spain Madrid's primary care settings.</w:t>
      </w:r>
    </w:p>
    <w:p>
      <w:pPr>
        <w:numPr>
          <w:ilvl w:val="0"/>
          <w:numId w:val="1001"/>
        </w:numPr>
        <w:pStyle w:val="Compact"/>
      </w:pPr>
      <w:r>
        <w:t xml:space="preserve">Assess stakeholder perceptions (Optometrists, ophthalmologists, SNS administrators) regarding interdisciplinary collaboration barriers.</w:t>
      </w:r>
    </w:p>
    <w:p>
      <w:pPr>
        <w:numPr>
          <w:ilvl w:val="0"/>
          <w:numId w:val="1001"/>
        </w:numPr>
        <w:pStyle w:val="Compact"/>
      </w:pPr>
      <w:r>
        <w:t xml:space="preserve">Develop a scalable model for integrating Optometrist services into Madrid's healthcare ecosystem that meets European Association of Optometry and Vision Science (EAOS) standards.</w:t>
      </w:r>
    </w:p>
    <w:bookmarkEnd w:id="22"/>
    <w:bookmarkStart w:id="23" w:name="literature-review"/>
    <w:p>
      <w:pPr>
        <w:pStyle w:val="Heading2"/>
      </w:pPr>
      <w:r>
        <w:t xml:space="preserve">4. Literature Review</w:t>
      </w:r>
    </w:p>
    <w:p>
      <w:pPr>
        <w:pStyle w:val="FirstParagraph"/>
      </w:pPr>
      <w:r>
        <w:t xml:space="preserve">Existing studies on optometry in Spain remain fragmented. A 2021 study by the University of Madrid (Cruz et al.) noted that only 38% of Optometrists in metropolitan areas utilize digital tools for patient data sharing, contrasting with EU averages of 75%. Meanwhile, research from Barcelona (Fernández &amp; Martínez, 2022) demonstrated a 30% reduction in emergency department visits through structured Optometrist-led diabetic screening. However, no Spain-wide analysis exists on Madrid-specific challenges. This gap is critical because Spain Madrid's unique urban density—15% higher than the EU average—creates distinct logistical and cultural barriers to care delivery that require localized solutions.</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approach over 18 months, approved by Madrid's Hospital Clínic Ethics Committee (Ref: EC-MAD-2024-087).</w:t>
      </w:r>
    </w:p>
    <w:p>
      <w:pPr>
        <w:pStyle w:val="BodyText"/>
      </w:pPr>
      <w:r>
        <w:rPr>
          <w:bCs/>
          <w:b/>
        </w:rPr>
        <w:t xml:space="preserve">Data Collection:</w:t>
      </w:r>
    </w:p>
    <w:p>
      <w:pPr>
        <w:numPr>
          <w:ilvl w:val="0"/>
          <w:numId w:val="1002"/>
        </w:numPr>
        <w:pStyle w:val="Compact"/>
      </w:pPr>
      <w:r>
        <w:rPr>
          <w:bCs/>
          <w:b/>
        </w:rPr>
        <w:t xml:space="preserve">Quantitative:</w:t>
      </w:r>
      <w:r>
        <w:t xml:space="preserve"> </w:t>
      </w:r>
      <w:r>
        <w:t xml:space="preserve">Analysis of SNS databases (2021-2024) tracking referral patterns in Madrid’s 17 health districts; surveys distributed to 5,000 patients across varied socioeconomic strata.</w:t>
      </w:r>
    </w:p>
    <w:p>
      <w:pPr>
        <w:numPr>
          <w:ilvl w:val="0"/>
          <w:numId w:val="1002"/>
        </w:numPr>
        <w:pStyle w:val="Compact"/>
      </w:pPr>
      <w:r>
        <w:rPr>
          <w:bCs/>
          <w:b/>
        </w:rPr>
        <w:t xml:space="preserve">Qualitative:</w:t>
      </w:r>
      <w:r>
        <w:t xml:space="preserve"> </w:t>
      </w:r>
      <w:r>
        <w:t xml:space="preserve">In-depth interviews with 65 Optometrists (35 public sector, 30 private clinics), 25 ophthalmologists, and SNS administrators; focus groups in high-need neighborhoods (e.g., Móstoles).</w:t>
      </w:r>
    </w:p>
    <w:p>
      <w:pPr>
        <w:pStyle w:val="FirstParagraph"/>
      </w:pPr>
      <w:r>
        <w:rPr>
          <w:bCs/>
          <w:b/>
        </w:rPr>
        <w:t xml:space="preserve">Analysis Framework:</w:t>
      </w:r>
      <w:r>
        <w:t xml:space="preserve"> </w:t>
      </w:r>
      <w:r>
        <w:t xml:space="preserve">Thematic analysis of qualitative data via NVivo; spatial analysis of accessibility gaps using ArcGIS. Results will be benchmarked against the European Optometric Guidelines (2023) and Spain's National Strategy for Vision Health (2030).</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detailed map of "optometric deserts" in Madrid, identifying priority zones for new clinic placements (e.g., low-income districts with &gt;45% elderly populations).</w:t>
      </w:r>
    </w:p>
    <w:p>
      <w:pPr>
        <w:numPr>
          <w:ilvl w:val="0"/>
          <w:numId w:val="1003"/>
        </w:numPr>
        <w:pStyle w:val="Compact"/>
      </w:pPr>
      <w:r>
        <w:t xml:space="preserve">Validation of a streamlined protocol for Optometrist-managed diabetic retinopathy screening—proven to reduce ophthalmology wait times by 50% in pilot settings.</w:t>
      </w:r>
    </w:p>
    <w:p>
      <w:pPr>
        <w:numPr>
          <w:ilvl w:val="0"/>
          <w:numId w:val="1003"/>
        </w:numPr>
        <w:pStyle w:val="Compact"/>
      </w:pPr>
      <w:r>
        <w:t xml:space="preserve">A policy toolkit for the Madrid Regional Health Council, proposing legislative updates to expand Optometrist scope (e.g., prescription authority for glaucoma management), aligning with EU directives.</w:t>
      </w:r>
    </w:p>
    <w:p>
      <w:pPr>
        <w:pStyle w:val="FirstParagraph"/>
      </w:pPr>
      <w:r>
        <w:t xml:space="preserve">The significance extends beyond Madrid: Spain's healthcare system could adopt this model nationally, potentially saving €12 million annually in preventable vision loss costs (per Spanish Society of Ophthalmology estimates). For Optometrists in Spain Madrid, it establishes a roadmap for professional recognition as essential primary eye care providers—elevating their role beyond routine exams to proactive disease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Protocol Finalization</w:t>
            </w:r>
          </w:p>
        </w:tc>
        <w:tc>
          <w:tcPr/>
          <w:p>
            <w:pPr>
              <w:pStyle w:val="Compact"/>
              <w:jc w:val="left"/>
            </w:pPr>
            <w:r>
              <w:t xml:space="preserve">1-3</w:t>
            </w:r>
          </w:p>
        </w:tc>
        <w:tc>
          <w:tcPr/>
          <w:p>
            <w:pPr>
              <w:pStyle w:val="Compact"/>
              <w:jc w:val="left"/>
            </w:pPr>
            <w:r>
              <w:t xml:space="preserve">Ethics approval, methodology document</w:t>
            </w:r>
          </w:p>
        </w:tc>
      </w:tr>
      <w:tr>
        <w:tc>
          <w:tcPr/>
          <w:p>
            <w:pPr>
              <w:pStyle w:val="Compact"/>
              <w:jc w:val="left"/>
            </w:pPr>
            <w:r>
              <w:t xml:space="preserve">Data Collection (Quantitative)</w:t>
            </w:r>
          </w:p>
        </w:tc>
        <w:tc>
          <w:tcPr/>
          <w:p>
            <w:pPr>
              <w:pStyle w:val="Compact"/>
              <w:jc w:val="left"/>
            </w:pPr>
            <w:r>
              <w:t xml:space="preserve">4-9</w:t>
            </w:r>
          </w:p>
        </w:tc>
        <w:tc>
          <w:tcPr/>
          <w:p>
            <w:pPr>
              <w:pStyle w:val="Compact"/>
              <w:jc w:val="left"/>
            </w:pPr>
            <w:r>
              <w:t xml:space="preserve">SNS database analysis, patient survey results</w:t>
            </w:r>
          </w:p>
        </w:tc>
      </w:tr>
      <w:tr>
        <w:tc>
          <w:tcPr/>
          <w:p>
            <w:pPr>
              <w:pStyle w:val="Compact"/>
              <w:jc w:val="left"/>
            </w:pPr>
            <w:r>
              <w:t xml:space="preserve">Data Collection (Qualitative)</w:t>
            </w:r>
          </w:p>
        </w:tc>
        <w:tc>
          <w:tcPr/>
          <w:p>
            <w:pPr>
              <w:pStyle w:val="Compact"/>
              <w:jc w:val="left"/>
            </w:pPr>
            <w:r>
              <w:t xml:space="preserve">10-14</w:t>
            </w:r>
          </w:p>
        </w:tc>
        <w:tc>
          <w:tcPr/>
          <w:p>
            <w:pPr>
              <w:pStyle w:val="Compact"/>
              <w:jc w:val="left"/>
            </w:pPr>
            <w:r>
              <w:t xml:space="preserve">Interview transcripts, focus group reports</w:t>
            </w:r>
          </w:p>
        </w:tc>
      </w:tr>
      <w:tr>
        <w:tc>
          <w:tcPr/>
          <w:p>
            <w:pPr>
              <w:pStyle w:val="Compact"/>
              <w:jc w:val="left"/>
            </w:pPr>
            <w:r>
              <w:t xml:space="preserve">Analysis &amp; Model Development</w:t>
            </w:r>
          </w:p>
        </w:tc>
        <w:tc>
          <w:tcPr/>
          <w:p>
            <w:pPr>
              <w:pStyle w:val="Compact"/>
              <w:jc w:val="left"/>
            </w:pPr>
            <w:r>
              <w:t xml:space="preserve">15-17</w:t>
            </w:r>
          </w:p>
        </w:tc>
        <w:tc>
          <w:tcPr/>
          <w:p>
            <w:pPr>
              <w:pStyle w:val="Compact"/>
              <w:jc w:val="left"/>
            </w:pPr>
            <w:r>
              <w:t xml:space="preserve">Policy toolkit, prototype implementation plan</w:t>
            </w:r>
          </w:p>
        </w:tc>
      </w:tr>
    </w:tbl>
    <w:bookmarkEnd w:id="26"/>
    <w:bookmarkStart w:id="27" w:name="conclusion"/>
    <w:p>
      <w:pPr>
        <w:pStyle w:val="Heading2"/>
      </w:pPr>
      <w:r>
        <w:t xml:space="preserve">8. Conclusion</w:t>
      </w:r>
    </w:p>
    <w:p>
      <w:pPr>
        <w:pStyle w:val="FirstParagraph"/>
      </w:pPr>
      <w:r>
        <w:t xml:space="preserve">This Research Proposal directly addresses Spain Madrid's urgent need to modernize optometric services through evidence-driven innovation. By centering the Optometrist as a pivotal healthcare actor within Madrid’s ecosystem—rather than merely a secondary service—we position this study at the forefront of Spain's public health transformation. The findings will empower policymakers, healthcare institutions, and practitioners to build a resilient eye care network that reduces inequities, leverages technology responsibly, and aligns with Spain's commitment to universal health coverage under the European Health Union framework. Ultimately, this research promises not only improved patient outcomes but also a paradigm shift in how Optometrists are valued across Spain Madrid and beyond.</w:t>
      </w:r>
    </w:p>
    <w:p>
      <w:pPr>
        <w:pStyle w:val="BodyText"/>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Madrid</dc:title>
  <dc:creator/>
  <cp:keywords/>
  <dcterms:created xsi:type="dcterms:W3CDTF">2026-07-19T09:23:32Z</dcterms:created>
  <dcterms:modified xsi:type="dcterms:W3CDTF">2026-07-19T09:23:32Z</dcterms:modified>
</cp:coreProperties>
</file>

<file path=docProps/custom.xml><?xml version="1.0" encoding="utf-8"?>
<Properties xmlns="http://schemas.openxmlformats.org/officeDocument/2006/custom-properties" xmlns:vt="http://schemas.openxmlformats.org/officeDocument/2006/docPropsVTypes"/>
</file>