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Thailand</w:t>
      </w:r>
      <w:r>
        <w:t xml:space="preserve"> </w:t>
      </w:r>
      <w:r>
        <w:t xml:space="preserve">Bangkok</w:t>
      </w:r>
    </w:p>
    <w:bookmarkStart w:id="32" w:name="X21ef1a570ccee502fe6aca65b5789f53888fac2"/>
    <w:p>
      <w:pPr>
        <w:pStyle w:val="Heading1"/>
      </w:pPr>
      <w:r>
        <w:t xml:space="preserve">Research Proposal: Advancing Optometric Practice and Patient Outcomes in Metropolitan Bangkok, Thailand</w:t>
      </w:r>
    </w:p>
    <w:bookmarkStart w:id="20" w:name="i.-introduction-and-background"/>
    <w:p>
      <w:pPr>
        <w:pStyle w:val="Heading2"/>
      </w:pPr>
      <w:r>
        <w:t xml:space="preserve">I. Introduction and Background</w:t>
      </w:r>
    </w:p>
    <w:p>
      <w:pPr>
        <w:pStyle w:val="FirstParagraph"/>
      </w:pPr>
      <w:r>
        <w:t xml:space="preserve">The rapid urbanization of Thailand's capital, Bangkok, has created unprecedented challenges in public health infrastructure, particularly within ophthalmic care. With a population exceeding 10 million residents and an aging demographic compounded by high digital screen exposure and environmental pollutants like PM2.5, visual health disorders are escalating at alarming rates. However, the optometric profession remains underdeveloped in Thailand's healthcare ecosystem compared to neighboring Southeast Asian nations. Current data indicates that only 38% of Bangkok's eye care facilities employ licensed optometrists as primary providers—significantly lower than the regional average—and many clinics continue to rely on physicians for routine vision correction, creating service bottlenecks. This research proposal addresses a critical gap: the urgent need to establish evidence-based frameworks for optimizing optometric practice in Thailand's most populous city. By focusing specifically on Bangkok, this study will generate contextually relevant insights that can transform vision care delivery across urban Thailand.</w:t>
      </w:r>
    </w:p>
    <w:bookmarkEnd w:id="20"/>
    <w:bookmarkStart w:id="21" w:name="ii.-problem-statement"/>
    <w:p>
      <w:pPr>
        <w:pStyle w:val="Heading2"/>
      </w:pPr>
      <w:r>
        <w:t xml:space="preserve">II. Problem Statement</w:t>
      </w:r>
    </w:p>
    <w:p>
      <w:pPr>
        <w:pStyle w:val="FirstParagraph"/>
      </w:pPr>
      <w:r>
        <w:t xml:space="preserve">Thailand faces a dual crisis in eye health: rising prevalence of myopia among children (now affecting 80% of urban students) and age-related macular degeneration in elderly populations, coupled with inadequate optometric workforce capacity. In Bangkok, geographic maldistribution exacerbates access issues—75% of licensed optometrists are concentrated in central districts like Pathumwan and Sathon, leaving peripheral communities like Samut Prakan and Nong Chok underserved. Furthermore, regulatory ambiguities hinder scope expansion; Thai optometrists cannot perform diagnostic tests for diabetic retinopathy without physician oversight, delaying critical interventions. These systemic barriers contribute to Bangkok's current 40% patient wait time for routine eye exams—three times the World Health Organization benchmark—resulting in preventable vision loss. Without immediate research-driven policy reform, Thailand's National Eye Health Plan (2021-2030) will fail its urban targets.</w:t>
      </w:r>
    </w:p>
    <w:bookmarkEnd w:id="21"/>
    <w:bookmarkStart w:id="22" w:name="iii.-literature-review"/>
    <w:p>
      <w:pPr>
        <w:pStyle w:val="Heading2"/>
      </w:pPr>
      <w:r>
        <w:t xml:space="preserve">III. Literature Review</w:t>
      </w:r>
    </w:p>
    <w:p>
      <w:pPr>
        <w:pStyle w:val="FirstParagraph"/>
      </w:pPr>
      <w:r>
        <w:t xml:space="preserve">While global studies validate optometrists' role in reducing ophthalmic workload (e.g., a 2023 Singaporean study showed 35% fewer hospital referrals), Thailand lacks localized evidence. Existing Thai research focuses narrowly on rural villages (e.g., Chiang Mai University, 2021), ignoring Bangkok's unique urban complexities. A critical gap persists in understanding how Bangkok's environmental stressors—air pollution, blue light exposure from digital devices, and traffic-related eye strain—impact optometric service delivery models. Furthermore, Thailand's Optometry Association (TOA) has not yet established standardized clinical protocols for urban settings. This proposal directly addresses these voids by creating the first comprehensive analysis of Bangkok-specific optometric challenges.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distribution, and service patterns of licensed Optometrists across all 50 districts of Bangkok</w:t>
      </w:r>
    </w:p>
    <w:p>
      <w:pPr>
        <w:numPr>
          <w:ilvl w:val="0"/>
          <w:numId w:val="1001"/>
        </w:numPr>
        <w:pStyle w:val="Compact"/>
      </w:pPr>
      <w:r>
        <w:t xml:space="preserve">To identify regulatory, resource, and environmental barriers impeding effective optometric practice in urban Thailand</w:t>
      </w:r>
    </w:p>
    <w:p>
      <w:pPr>
        <w:numPr>
          <w:ilvl w:val="0"/>
          <w:numId w:val="1001"/>
        </w:numPr>
        <w:pStyle w:val="Compact"/>
      </w:pPr>
      <w:r>
        <w:t xml:space="preserve">To evaluate patient outcomes (e.g., visual acuity improvement rates) linked to optometrist-led care versus physician-dependent models</w:t>
      </w:r>
    </w:p>
    <w:p>
      <w:pPr>
        <w:numPr>
          <w:ilvl w:val="0"/>
          <w:numId w:val="1001"/>
        </w:numPr>
        <w:pStyle w:val="Compact"/>
      </w:pPr>
      <w:r>
        <w:t xml:space="preserve">To co-develop evidence-based policy recommendations with Bangkok Health Department and TOA for integrating Optometrists into the primary healthcare system</w:t>
      </w:r>
    </w:p>
    <w:bookmarkEnd w:id="23"/>
    <w:bookmarkStart w:id="27" w:name="v.-methodology"/>
    <w:p>
      <w:pPr>
        <w:pStyle w:val="Heading2"/>
      </w:pPr>
      <w:r>
        <w:t xml:space="preserve">V. Methodology</w:t>
      </w:r>
    </w:p>
    <w:p>
      <w:pPr>
        <w:pStyle w:val="FirstParagraph"/>
      </w:pPr>
      <w:r>
        <w:t xml:space="preserve">This 18-month study employs a mixed-methods approach tailored to Bangkok's urban fabric:</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Optometrist Survey:</w:t>
      </w:r>
      <w:r>
        <w:t xml:space="preserve"> </w:t>
      </w:r>
      <w:r>
        <w:t xml:space="preserve">Stratified sampling of all 2,850 licensed optometrists (via Thai Board of Optometry records) across Bangkok districts, measuring service volume, diagnostic capabilities, and regulatory constraints</w:t>
      </w:r>
    </w:p>
    <w:p>
      <w:pPr>
        <w:numPr>
          <w:ilvl w:val="0"/>
          <w:numId w:val="1002"/>
        </w:numPr>
        <w:pStyle w:val="Compact"/>
      </w:pPr>
      <w:r>
        <w:rPr>
          <w:bCs/>
          <w:b/>
        </w:rPr>
        <w:t xml:space="preserve">Health Facility Audit:</w:t>
      </w:r>
      <w:r>
        <w:t xml:space="preserve"> </w:t>
      </w:r>
      <w:r>
        <w:t xml:space="preserve">Data collection from 150 eye care clinics (public/private/hospital-based) on patient wait times, referral patterns, and equipment availability</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rPr>
          <w:bCs/>
          <w:b/>
        </w:rPr>
        <w:t xml:space="preserve">Stakeholder Interviews:</w:t>
      </w:r>
      <w:r>
        <w:t xml:space="preserve"> </w:t>
      </w:r>
      <w:r>
        <w:t xml:space="preserve">In-depth sessions with 40 key informants including Bangkok Metropolitan Administration (BMA) health officials, TOA leadership, and clinic owners</w:t>
      </w:r>
    </w:p>
    <w:p>
      <w:pPr>
        <w:numPr>
          <w:ilvl w:val="0"/>
          <w:numId w:val="1003"/>
        </w:numPr>
        <w:pStyle w:val="Compact"/>
      </w:pPr>
      <w:r>
        <w:rPr>
          <w:bCs/>
          <w:b/>
        </w:rPr>
        <w:t xml:space="preserve">Patient Focus Groups:</w:t>
      </w:r>
      <w:r>
        <w:t xml:space="preserve"> </w:t>
      </w:r>
      <w:r>
        <w:t xml:space="preserve">12 sessions across diverse socioeconomic groups in high-need districts (e.g., Samphanthawong, Makkasan) exploring care accessibility challenges</w:t>
      </w:r>
    </w:p>
    <w:bookmarkEnd w:id="25"/>
    <w:bookmarkStart w:id="26" w:name="phase-3-data-integration-months-13-18"/>
    <w:p>
      <w:pPr>
        <w:pStyle w:val="Heading3"/>
      </w:pPr>
      <w:r>
        <w:t xml:space="preserve">Phase 3: Data Integration (Months 13-18)</w:t>
      </w:r>
    </w:p>
    <w:p>
      <w:pPr>
        <w:numPr>
          <w:ilvl w:val="0"/>
          <w:numId w:val="1004"/>
        </w:numPr>
        <w:pStyle w:val="Compact"/>
      </w:pPr>
      <w:r>
        <w:t xml:space="preserve">Quantitative analysis using SPSS to identify correlation between optometrist density and service metrics</w:t>
      </w:r>
    </w:p>
    <w:p>
      <w:pPr>
        <w:numPr>
          <w:ilvl w:val="0"/>
          <w:numId w:val="1004"/>
        </w:numPr>
        <w:pStyle w:val="Compact"/>
      </w:pPr>
      <w:r>
        <w:t xml:space="preserve">Thematic analysis of qualitative data to develop context-specific recommendations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Thailand's first urban optometric benchmarking report, directly addressing the National Health Security Strategy's priority areas. Key outputs include:</w:t>
      </w:r>
    </w:p>
    <w:p>
      <w:pPr>
        <w:numPr>
          <w:ilvl w:val="0"/>
          <w:numId w:val="1005"/>
        </w:numPr>
        <w:pStyle w:val="Compact"/>
      </w:pPr>
      <w:r>
        <w:t xml:space="preserve">A dynamic geographic information system (GIS) map of Bangkok's optometric "service deserts"</w:t>
      </w:r>
    </w:p>
    <w:p>
      <w:pPr>
        <w:numPr>
          <w:ilvl w:val="0"/>
          <w:numId w:val="1005"/>
        </w:numPr>
        <w:pStyle w:val="Compact"/>
      </w:pPr>
      <w:r>
        <w:t xml:space="preserve">Evidence-based model for expanding Optometrist scope to include diabetic retinopathy screening under Thai law</w:t>
      </w:r>
    </w:p>
    <w:p>
      <w:pPr>
        <w:numPr>
          <w:ilvl w:val="0"/>
          <w:numId w:val="1005"/>
        </w:numPr>
        <w:pStyle w:val="Compact"/>
      </w:pPr>
      <w:r>
        <w:t xml:space="preserve">Cost-benefit analysis demonstrating how integrating Optometrists could reduce hospital burden by 25% (projected savings: 1.2 billion THB annually)</w:t>
      </w:r>
    </w:p>
    <w:p>
      <w:pPr>
        <w:pStyle w:val="FirstParagraph"/>
      </w:pPr>
      <w:r>
        <w:t xml:space="preserve">The significance extends beyond Bangkok: findings will inform Thailand's National Eye Health Plan revisions and serve as a template for ASEAN urban centers like Ho Chi Minh City and Manila. Crucially, this study positions Optometrists—not just ophthalmologists—as central to Thailand's primary eye care strategy, aligning with WHO's 2030 vision goals. For Bangkok residents specifically, improved optometric access means reduced preventable blindness in high-risk groups (e.g., diabetic patients in Sathon district), directly improving quality of life for over 5 million urban dwellers.</w:t>
      </w:r>
    </w:p>
    <w:bookmarkEnd w:id="28"/>
    <w:bookmarkStart w:id="29" w:name="vii.-ethical-considerations"/>
    <w:p>
      <w:pPr>
        <w:pStyle w:val="Heading2"/>
      </w:pPr>
      <w:r>
        <w:t xml:space="preserve">VII. Ethical Considerations</w:t>
      </w:r>
    </w:p>
    <w:p>
      <w:pPr>
        <w:pStyle w:val="FirstParagraph"/>
      </w:pPr>
      <w:r>
        <w:t xml:space="preserve">Full compliance with Thai Ministry of Public Health ethics guidelines will be maintained. All patient data will be anonymized and stored on encrypted BMA servers. Optometrist participation is voluntary, with clear opt-out provisions. The research team includes two licensed Thai optometrists (Dr. Niran Chantarasiri, Bangkok University; Dr. Suthida Phanich) ensuring cultural sensitivity in data collection.</w:t>
      </w:r>
    </w:p>
    <w:bookmarkEnd w:id="29"/>
    <w:bookmarkStart w:id="30"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(THB)</w:t>
            </w:r>
          </w:p>
        </w:tc>
      </w:tr>
      <w:tr>
        <w:tc>
          <w:tcPr/>
          <w:p>
            <w:pPr>
              <w:pStyle w:val="Compact"/>
              <w:jc w:val="left"/>
            </w:pPr>
            <w:r>
              <w:t xml:space="preserve">I. Survey Design &amp; Ethics Approval</w:t>
            </w:r>
          </w:p>
        </w:tc>
        <w:tc>
          <w:tcPr/>
          <w:p>
            <w:pPr>
              <w:pStyle w:val="Compact"/>
              <w:jc w:val="left"/>
            </w:pPr>
            <w:r>
              <w:t xml:space="preserve">Months 1-2</w:t>
            </w:r>
          </w:p>
        </w:tc>
        <w:tc>
          <w:tcPr/>
          <w:p>
            <w:pPr>
              <w:pStyle w:val="Compact"/>
              <w:jc w:val="left"/>
            </w:pPr>
            <w:r>
              <w:t xml:space="preserve">Instrument validation, BMA ethics board submission</w:t>
            </w:r>
          </w:p>
        </w:tc>
        <w:tc>
          <w:tcPr/>
          <w:p>
            <w:pPr>
              <w:pStyle w:val="Compact"/>
              <w:jc w:val="left"/>
            </w:pPr>
            <w:r>
              <w:t xml:space="preserve">180,000</w:t>
            </w:r>
          </w:p>
        </w:tc>
      </w:tr>
      <w:tr>
        <w:tc>
          <w:tcPr/>
          <w:p>
            <w:pPr>
              <w:pStyle w:val="Compact"/>
              <w:jc w:val="left"/>
            </w:pPr>
            <w:r>
              <w:t xml:space="preserve">II. Data Collection (Quantitative)</w:t>
            </w:r>
          </w:p>
        </w:tc>
        <w:tc>
          <w:tcPr/>
          <w:p>
            <w:pPr>
              <w:pStyle w:val="Compact"/>
              <w:jc w:val="left"/>
            </w:pPr>
            <w:r>
              <w:t xml:space="preserve">Months 3-6</w:t>
            </w:r>
          </w:p>
        </w:tc>
        <w:tc>
          <w:tcPr/>
          <w:p>
            <w:pPr>
              <w:pStyle w:val="Compact"/>
              <w:jc w:val="left"/>
            </w:pPr>
            <w:r>
              <w:t xml:space="preserve">Clinic audits, optometrist surveys</w:t>
            </w:r>
          </w:p>
        </w:tc>
        <w:tc>
          <w:tcPr/>
          <w:p>
            <w:pPr>
              <w:pStyle w:val="Compact"/>
              <w:jc w:val="left"/>
            </w:pPr>
            <w:r>
              <w:t xml:space="preserve">850,000</w:t>
            </w:r>
          </w:p>
        </w:tc>
      </w:tr>
      <w:tr>
        <w:tc>
          <w:tcPr/>
          <w:p>
            <w:pPr>
              <w:pStyle w:val="Compact"/>
              <w:jc w:val="left"/>
            </w:pPr>
            <w:r>
              <w:t xml:space="preserve">III. Data Collection (Qualitative)</w:t>
            </w:r>
          </w:p>
        </w:tc>
        <w:tc>
          <w:tcPr/>
          <w:p>
            <w:pPr>
              <w:pStyle w:val="Compact"/>
              <w:jc w:val="left"/>
            </w:pPr>
            <w:r>
              <w:t xml:space="preserve">Months 7-12</w:t>
            </w:r>
          </w:p>
        </w:tc>
        <w:tc>
          <w:tcPr/>
          <w:p>
            <w:pPr>
              <w:pStyle w:val="Compact"/>
              <w:jc w:val="left"/>
            </w:pPr>
            <w:r>
              <w:t xml:space="preserve">Interviews, focus groups</w:t>
            </w:r>
          </w:p>
        </w:tc>
        <w:tc>
          <w:tcPr/>
          <w:p>
            <w:pPr>
              <w:pStyle w:val="Compact"/>
              <w:jc w:val="left"/>
            </w:pPr>
            <w:r>
              <w:t xml:space="preserve">620,000</w:t>
            </w:r>
          </w:p>
        </w:tc>
      </w:tr>
      <w:tr>
        <w:tc>
          <w:tcPr/>
          <w:p>
            <w:pPr>
              <w:pStyle w:val="Compact"/>
              <w:jc w:val="left"/>
            </w:pPr>
            <w:r>
              <w:t xml:space="preserve">IV. Analysis &amp; Policy Drafting</w:t>
            </w:r>
          </w:p>
        </w:tc>
        <w:tc>
          <w:tcPr/>
          <w:p>
            <w:pPr>
              <w:pStyle w:val="Compact"/>
              <w:jc w:val="left"/>
            </w:pPr>
            <w:r>
              <w:t xml:space="preserve">Months 13-18</w:t>
            </w:r>
          </w:p>
        </w:tc>
        <w:tc>
          <w:tcPr/>
          <w:p>
            <w:pPr>
              <w:pStyle w:val="Compact"/>
              <w:jc w:val="left"/>
            </w:pPr>
            <w:r>
              <w:t xml:space="preserve">Data synthesis, stakeholder workshops with BMA/TOA</w:t>
            </w:r>
          </w:p>
        </w:tc>
        <w:tc>
          <w:tcPr/>
          <w:p>
            <w:pPr>
              <w:pStyle w:val="Compact"/>
              <w:jc w:val="left"/>
            </w:pPr>
            <w:r>
              <w:t xml:space="preserve">550,000</w:t>
            </w:r>
          </w:p>
        </w:tc>
      </w:tr>
    </w:tbl>
    <w:bookmarkEnd w:id="30"/>
    <w:bookmarkStart w:id="31" w:name="Xfcd990115715e04f872cb5e6bc90159ca845714"/>
    <w:p>
      <w:pPr>
        <w:pStyle w:val="Heading2"/>
      </w:pPr>
      <w:r>
        <w:t xml:space="preserve">IX. Conclusion: Transforming Vision Care in Thailand's Capital</w:t>
      </w:r>
    </w:p>
    <w:p>
      <w:pPr>
        <w:pStyle w:val="FirstParagraph"/>
      </w:pPr>
      <w:r>
        <w:t xml:space="preserve">This research proposal transcends academic inquiry—it is a strategic imperative for Thailand Bangkok's healthcare future. By centering the Optometrist as a pivotal urban health professional, this study confronts Bangkok's eye care crisis with localized evidence, not generic solutions. The outcomes will catalyze regulatory reforms that elevate optometric practice from reactive vision correction to proactive community eye health management. As Thailand aims to become an ASEAN leader in universal health coverage, optimizing Optometrist roles in Bangkok represents the most scalable and cost-effective intervention for urban eye care. This proposal doesn't just seek answers—it builds the roadmap for a Bangkok where every resident, regardless of district or income, receives timely, high-quality vision care that preserves their sight and livelihoods. The time to invest in this research is now; the consequences of delay are measured in lost eyesight across Thailand's most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Thailand Bangkok</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