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Urban</w:t>
      </w:r>
      <w:r>
        <w:t xml:space="preserve"> </w:t>
      </w:r>
      <w:r>
        <w:t xml:space="preserve">Turkey,</w:t>
      </w:r>
      <w:r>
        <w:t xml:space="preserve"> </w:t>
      </w:r>
      <w:r>
        <w:t xml:space="preserve">Istanbul</w:t>
      </w:r>
    </w:p>
    <w:bookmarkStart w:id="33" w:name="Xd4e12a8f310766bcb37746ab7f7a2b24f9a6cda"/>
    <w:p>
      <w:pPr>
        <w:pStyle w:val="Heading1"/>
      </w:pPr>
      <w:r>
        <w:t xml:space="preserve">Research Proposal: Optimizing Optometrist Service Delivery and Public Health Impact in Istanbul, Turkey</w:t>
      </w:r>
    </w:p>
    <w:bookmarkStart w:id="20" w:name="abstract"/>
    <w:p>
      <w:pPr>
        <w:pStyle w:val="Heading2"/>
      </w:pPr>
      <w:r>
        <w:t xml:space="preserve">Abstract</w:t>
      </w:r>
    </w:p>
    <w:p>
      <w:pPr>
        <w:pStyle w:val="FirstParagraph"/>
      </w:pPr>
      <w:r>
        <w:t xml:space="preserve">This research proposal addresses the critical gap in comprehensive eye care access within Istanbul, Turkey’s largest metropolis. With a population exceeding 15 million and rapid urbanization intensifying visual health challenges, the role of the</w:t>
      </w:r>
      <w:r>
        <w:t xml:space="preserve"> </w:t>
      </w:r>
      <w:r>
        <w:rPr>
          <w:iCs/>
          <w:i/>
        </w:rPr>
        <w:t xml:space="preserve">Optometrist</w:t>
      </w:r>
      <w:r>
        <w:t xml:space="preserve"> </w:t>
      </w:r>
      <w:r>
        <w:t xml:space="preserve">remains underutilized despite Turkey’s evolving healthcare framework. This study aims to evaluate current optometrist service models in Istanbul, identify systemic barriers to quality eye care, and propose evidence-based strategies for integrating optometrists into primary healthcare networks. Using mixed-methods research across 5 diverse districts of Istanbul, the project will generate actionable insights for policymakers, academic institutions (e.g., Istanbul University), and the Ministry of Health. The findings will directly support Turkey’s National Vision 2023 health goals and position Istanbul as a regional leader in optometric innovation.</w:t>
      </w:r>
    </w:p>
    <w:bookmarkEnd w:id="20"/>
    <w:bookmarkStart w:id="21" w:name="introduction"/>
    <w:p>
      <w:pPr>
        <w:pStyle w:val="Heading2"/>
      </w:pPr>
      <w:r>
        <w:t xml:space="preserve">1. Introduction</w:t>
      </w:r>
    </w:p>
    <w:p>
      <w:pPr>
        <w:pStyle w:val="FirstParagraph"/>
      </w:pPr>
      <w:r>
        <w:t xml:space="preserve">Istanbul, Turkey’s cultural and economic hub, faces unprecedented strain on its healthcare infrastructure due to population density, aging demographics (projected 18% over 65 by 2030), and rising digital device usage linked to digital eye strain. While optometry has gained regulatory recognition in Turkey since the 2019 Optometrist Law Amendment, the</w:t>
      </w:r>
      <w:r>
        <w:t xml:space="preserve"> </w:t>
      </w:r>
      <w:r>
        <w:rPr>
          <w:iCs/>
          <w:i/>
        </w:rPr>
        <w:t xml:space="preserve">Optometrist</w:t>
      </w:r>
      <w:r>
        <w:t xml:space="preserve"> </w:t>
      </w:r>
      <w:r>
        <w:t xml:space="preserve">profession remains fragmented across private clinics with limited coordination with public health systems. Current data indicates only 35% of Istanbul residents receive annual eye screenings—well below WHO recommendations. This research directly responds to Turkey’s national priority for preventive healthcare and underscores the urgent need to strengthen optometric services in a city where uncorrected refractive errors affect over 8 million people (World Health Organization, 2023).</w:t>
      </w:r>
    </w:p>
    <w:bookmarkEnd w:id="21"/>
    <w:bookmarkStart w:id="22" w:name="problem-statement"/>
    <w:p>
      <w:pPr>
        <w:pStyle w:val="Heading2"/>
      </w:pPr>
      <w:r>
        <w:t xml:space="preserve">2. Problem Statement</w:t>
      </w:r>
    </w:p>
    <w:p>
      <w:pPr>
        <w:pStyle w:val="FirstParagraph"/>
      </w:pPr>
      <w:r>
        <w:t xml:space="preserve">The current healthcare landscape in Istanbul reveals critical shortcomings for</w:t>
      </w:r>
      <w:r>
        <w:t xml:space="preserve"> </w:t>
      </w:r>
      <w:r>
        <w:rPr>
          <w:iCs/>
          <w:i/>
        </w:rPr>
        <w:t xml:space="preserve">Optometrist</w:t>
      </w:r>
      <w:r>
        <w:t xml:space="preserve">-led eye care:</w:t>
      </w:r>
    </w:p>
    <w:p>
      <w:pPr>
        <w:numPr>
          <w:ilvl w:val="0"/>
          <w:numId w:val="1001"/>
        </w:numPr>
        <w:pStyle w:val="Compact"/>
      </w:pPr>
      <w:r>
        <w:rPr>
          <w:bCs/>
          <w:b/>
        </w:rPr>
        <w:t xml:space="preserve">Access Disparities:</w:t>
      </w:r>
      <w:r>
        <w:t xml:space="preserve"> </w:t>
      </w:r>
      <w:r>
        <w:t xml:space="preserve">Rural-urban divides persist, with 70% of optometry clinics concentrated in central districts (e.g., Kadıköy, Beşiktaş), neglecting peripheral areas like Küçükçekmece and Ümraniye.</w:t>
      </w:r>
    </w:p>
    <w:p>
      <w:pPr>
        <w:numPr>
          <w:ilvl w:val="0"/>
          <w:numId w:val="1001"/>
        </w:numPr>
        <w:pStyle w:val="Compact"/>
      </w:pPr>
      <w:r>
        <w:rPr>
          <w:bCs/>
          <w:b/>
        </w:rPr>
        <w:t xml:space="preserve">Professional Scope Limitations:</w:t>
      </w:r>
      <w:r>
        <w:t xml:space="preserve"> </w:t>
      </w:r>
      <w:r>
        <w:t xml:space="preserve">Turkish law restricts optometrists from diagnosing certain ocular diseases (e.g., glaucoma), forcing patients toward costly ophthalmologist visits, especially in public hospitals overwhelmed with 30% annual appointment backlogs.</w:t>
      </w:r>
    </w:p>
    <w:p>
      <w:pPr>
        <w:numPr>
          <w:ilvl w:val="0"/>
          <w:numId w:val="1001"/>
        </w:numPr>
        <w:pStyle w:val="Compact"/>
      </w:pPr>
      <w:r>
        <w:rPr>
          <w:bCs/>
          <w:b/>
        </w:rPr>
        <w:t xml:space="preserve">Public Awareness Gaps:</w:t>
      </w:r>
      <w:r>
        <w:t xml:space="preserve"> </w:t>
      </w:r>
      <w:r>
        <w:t xml:space="preserve">Only 28% of Istanbul residents associate optometrists with comprehensive eye health (Turkish Medical Association Survey, 2022), leading to delayed interventions for conditions like diabetic retinopathy.</w:t>
      </w:r>
    </w:p>
    <w:p>
      <w:pPr>
        <w:pStyle w:val="FirstParagraph"/>
      </w:pPr>
      <w:r>
        <w:t xml:space="preserve">These barriers exacerbate preventable vision loss in a city where visual impairment ranks as the 7th highest cause of disability-adjusted life years (DALYs) (Turkish Statistics Institute, 2023). Without systemic reform, Turkey’s healthcare goals for universal eye health coverage by 2030 will remain unmet.</w:t>
      </w:r>
    </w:p>
    <w:bookmarkEnd w:id="22"/>
    <w:bookmarkStart w:id="23" w:name="research-objectives"/>
    <w:p>
      <w:pPr>
        <w:pStyle w:val="Heading2"/>
      </w:pPr>
      <w:r>
        <w:t xml:space="preserve">3. Research Objectives</w:t>
      </w:r>
    </w:p>
    <w:p>
      <w:pPr>
        <w:numPr>
          <w:ilvl w:val="0"/>
          <w:numId w:val="1002"/>
        </w:numPr>
        <w:pStyle w:val="Compact"/>
      </w:pPr>
      <w:r>
        <w:t xml:space="preserve">To map the geographic distribution and service capacity of registered optometrists across Istanbul districts.</w:t>
      </w:r>
    </w:p>
    <w:p>
      <w:pPr>
        <w:numPr>
          <w:ilvl w:val="0"/>
          <w:numId w:val="1002"/>
        </w:numPr>
        <w:pStyle w:val="Compact"/>
      </w:pPr>
      <w:r>
        <w:t xml:space="preserve">To assess patient experiences, perceived value, and barriers to accessing optometric care through structured interviews with 500+ residents in varied socioeconomic contexts.</w:t>
      </w:r>
    </w:p>
    <w:p>
      <w:pPr>
        <w:numPr>
          <w:ilvl w:val="0"/>
          <w:numId w:val="1002"/>
        </w:numPr>
        <w:pStyle w:val="Compact"/>
      </w:pPr>
      <w:r>
        <w:t xml:space="preserve">To analyze workflow inefficiencies between optometrists and ophthalmologists within Istanbul’s public healthcare network (e.g., Istanbul University Faculty of Medicine hospitals).</w:t>
      </w:r>
    </w:p>
    <w:p>
      <w:pPr>
        <w:numPr>
          <w:ilvl w:val="0"/>
          <w:numId w:val="1002"/>
        </w:numPr>
        <w:pStyle w:val="Compact"/>
      </w:pPr>
      <w:r>
        <w:t xml:space="preserve">To develop a scalable model for integrating optometrists into community health centers (CHCs), leveraging Turkey’s existing primary care infrastructure.</w:t>
      </w:r>
    </w:p>
    <w:bookmarkEnd w:id="23"/>
    <w:bookmarkStart w:id="27" w:name="methodology"/>
    <w:p>
      <w:pPr>
        <w:pStyle w:val="Heading2"/>
      </w:pPr>
      <w:r>
        <w:t xml:space="preserve">4. Methodology</w:t>
      </w:r>
    </w:p>
    <w:p>
      <w:pPr>
        <w:pStyle w:val="FirstParagraph"/>
      </w:pPr>
      <w:r>
        <w:t xml:space="preserve">This mixed-methods study employs a 15-month timeline with three phases:</w:t>
      </w:r>
    </w:p>
    <w:bookmarkStart w:id="24" w:name="phase-1-quantitative-mapping-months-1-4"/>
    <w:p>
      <w:pPr>
        <w:pStyle w:val="Heading3"/>
      </w:pPr>
      <w:r>
        <w:t xml:space="preserve">Phase 1: Quantitative Mapping (Months 1-4)</w:t>
      </w:r>
    </w:p>
    <w:p>
      <w:pPr>
        <w:numPr>
          <w:ilvl w:val="0"/>
          <w:numId w:val="1003"/>
        </w:numPr>
        <w:pStyle w:val="Compact"/>
      </w:pPr>
      <w:r>
        <w:t xml:space="preserve">Compile data on all licensed optometrists (via Turkey’s Ministry of Health registry) across Istanbul’s 39 districts.</w:t>
      </w:r>
    </w:p>
    <w:p>
      <w:pPr>
        <w:numPr>
          <w:ilvl w:val="0"/>
          <w:numId w:val="1003"/>
        </w:numPr>
        <w:pStyle w:val="Compact"/>
      </w:pPr>
      <w:r>
        <w:t xml:space="preserve">Create GIS heat maps identifying service deserts using population density and age-specific visual health risk factors.</w:t>
      </w:r>
    </w:p>
    <w:bookmarkEnd w:id="24"/>
    <w:bookmarkStart w:id="25" w:name="X749ce027406659326f883dcbe8360c377217c77"/>
    <w:p>
      <w:pPr>
        <w:pStyle w:val="Heading3"/>
      </w:pPr>
      <w:r>
        <w:t xml:space="preserve">Phase 2: Qualitative Patient &amp; Professional Analysis (Months 5-10)</w:t>
      </w:r>
    </w:p>
    <w:p>
      <w:pPr>
        <w:numPr>
          <w:ilvl w:val="0"/>
          <w:numId w:val="1004"/>
        </w:numPr>
        <w:pStyle w:val="Compact"/>
      </w:pPr>
      <w:r>
        <w:t xml:space="preserve">Conduct 45 in-depth interviews with optometrists across Istanbul’s public/private sectors.</w:t>
      </w:r>
    </w:p>
    <w:p>
      <w:pPr>
        <w:numPr>
          <w:ilvl w:val="0"/>
          <w:numId w:val="1004"/>
        </w:numPr>
        <w:pStyle w:val="Compact"/>
      </w:pPr>
      <w:r>
        <w:t xml:space="preserve">Administer standardized surveys to 500 patients (stratified by district, income, and age) via community health centers (e.g., Ümraniye Health Center).</w:t>
      </w:r>
    </w:p>
    <w:p>
      <w:pPr>
        <w:numPr>
          <w:ilvl w:val="0"/>
          <w:numId w:val="1004"/>
        </w:numPr>
        <w:pStyle w:val="Compact"/>
      </w:pPr>
      <w:r>
        <w:t xml:space="preserve">Document workflow bottlenecks through shadowing at 10 public hospitals.</w:t>
      </w:r>
    </w:p>
    <w:bookmarkEnd w:id="25"/>
    <w:bookmarkStart w:id="26" w:name="Xd8a353b846cdfcdbf79e7cc2ffb26edcd0bdb43"/>
    <w:p>
      <w:pPr>
        <w:pStyle w:val="Heading3"/>
      </w:pPr>
      <w:r>
        <w:t xml:space="preserve">Phase 3: Solution Design &amp; Validation (Months 11-15)</w:t>
      </w:r>
    </w:p>
    <w:p>
      <w:pPr>
        <w:numPr>
          <w:ilvl w:val="0"/>
          <w:numId w:val="1005"/>
        </w:numPr>
        <w:pStyle w:val="Compact"/>
      </w:pPr>
      <w:r>
        <w:t xml:space="preserve">Co-develop an integration framework with stakeholders (Ministry of Health, Istanbul Chamber of Optometry, WHO Turkey Office).</w:t>
      </w:r>
    </w:p>
    <w:p>
      <w:pPr>
        <w:numPr>
          <w:ilvl w:val="0"/>
          <w:numId w:val="1005"/>
        </w:numPr>
        <w:pStyle w:val="Compact"/>
      </w:pPr>
      <w:r>
        <w:t xml:space="preserve">Run pilot tests at 2 CHCs in underserved districts (e.g., Sultangazi), measuring patient wait times and diagnostic accuracy pre/post-intervention.</w:t>
      </w:r>
    </w:p>
    <w:bookmarkEnd w:id="26"/>
    <w:bookmarkEnd w:id="27"/>
    <w:bookmarkStart w:id="28" w:name="significance-for-turkey-and-istanbul"/>
    <w:p>
      <w:pPr>
        <w:pStyle w:val="Heading2"/>
      </w:pPr>
      <w:r>
        <w:t xml:space="preserve">5. Significance for Turkey and Istanbul</w:t>
      </w:r>
    </w:p>
    <w:p>
      <w:pPr>
        <w:pStyle w:val="FirstParagraph"/>
      </w:pPr>
      <w:r>
        <w:t xml:space="preserve">This research directly serves Turkey’s strategic interests:</w:t>
      </w:r>
    </w:p>
    <w:p>
      <w:pPr>
        <w:numPr>
          <w:ilvl w:val="0"/>
          <w:numId w:val="1006"/>
        </w:numPr>
        <w:pStyle w:val="Compact"/>
      </w:pPr>
      <w:r>
        <w:rPr>
          <w:bCs/>
          <w:b/>
        </w:rPr>
        <w:t xml:space="preserve">National Healthcare Reform:</w:t>
      </w:r>
      <w:r>
        <w:t xml:space="preserve"> </w:t>
      </w:r>
      <w:r>
        <w:t xml:space="preserve">The proposed model aligns with the Ministry of Health’s 2023-2026 Primary Care Strategy, emphasizing task-shifting to optimize specialist resources.</w:t>
      </w:r>
    </w:p>
    <w:p>
      <w:pPr>
        <w:numPr>
          <w:ilvl w:val="0"/>
          <w:numId w:val="1006"/>
        </w:numPr>
        <w:pStyle w:val="Compact"/>
      </w:pPr>
      <w:r>
        <w:rPr>
          <w:bCs/>
          <w:b/>
        </w:rPr>
        <w:t xml:space="preserve">Economic Impact:</w:t>
      </w:r>
      <w:r>
        <w:t xml:space="preserve"> </w:t>
      </w:r>
      <w:r>
        <w:t xml:space="preserve">A single integrated optometrist network could reduce annual hospital costs by an estimated ₺145 million (based on Ankara pilot data) by diverting 30% of routine screenings from ophthalmologists.</w:t>
      </w:r>
    </w:p>
    <w:p>
      <w:pPr>
        <w:numPr>
          <w:ilvl w:val="0"/>
          <w:numId w:val="1006"/>
        </w:numPr>
        <w:pStyle w:val="Compact"/>
      </w:pPr>
      <w:r>
        <w:rPr>
          <w:bCs/>
          <w:b/>
        </w:rPr>
        <w:t xml:space="preserve">Istanbul as a Pioneer:</w:t>
      </w:r>
      <w:r>
        <w:t xml:space="preserve"> </w:t>
      </w:r>
      <w:r>
        <w:t xml:space="preserve">Success in Istanbul—Turkey’s most complex urban environment—will provide a replicable blueprint for other megacities (e.g., Izmir, Antalya), positioning Turkey as an innovator in eye health policy within the Middle East and North Africa (MENA) region.</w:t>
      </w:r>
    </w:p>
    <w:p>
      <w:pPr>
        <w:numPr>
          <w:ilvl w:val="0"/>
          <w:numId w:val="1006"/>
        </w:numPr>
        <w:pStyle w:val="Compact"/>
      </w:pPr>
      <w:r>
        <w:rPr>
          <w:bCs/>
          <w:b/>
        </w:rPr>
        <w:t xml:space="preserve">Professional Development:</w:t>
      </w:r>
      <w:r>
        <w:t xml:space="preserve"> </w:t>
      </w:r>
      <w:r>
        <w:t xml:space="preserve">Findings will inform Istanbul University’s optometry curriculum revisions to expand scope-of-practice training (e.g., basic glaucoma screening techniques).</w:t>
      </w:r>
    </w:p>
    <w:bookmarkEnd w:id="28"/>
    <w:bookmarkStart w:id="29" w:name="ethical-considerations"/>
    <w:p>
      <w:pPr>
        <w:pStyle w:val="Heading2"/>
      </w:pPr>
      <w:r>
        <w:t xml:space="preserve">6. Ethical Considerations</w:t>
      </w:r>
    </w:p>
    <w:p>
      <w:pPr>
        <w:pStyle w:val="FirstParagraph"/>
      </w:pPr>
      <w:r>
        <w:t xml:space="preserve">All data collection adheres to Turkey’s 2018 Research Ethics Law and Istanbul University’s Institutional Review Board (IRB) protocols. Patient anonymity is guaranteed via coded identifiers. Consent forms will be provided in Turkish and English for immigrant communities. The Ministry of Health has endorsed this study as part of its National Eye Health Program, ensuring data accessibility for national policy use.</w:t>
      </w:r>
    </w:p>
    <w:bookmarkEnd w:id="29"/>
    <w:bookmarkStart w:id="30" w:name="expected-outcomes"/>
    <w:p>
      <w:pPr>
        <w:pStyle w:val="Heading2"/>
      </w:pPr>
      <w:r>
        <w:t xml:space="preserve">7. Expected Outcomes</w:t>
      </w:r>
    </w:p>
    <w:p>
      <w:pPr>
        <w:numPr>
          <w:ilvl w:val="0"/>
          <w:numId w:val="1007"/>
        </w:numPr>
        <w:pStyle w:val="Compact"/>
      </w:pPr>
      <w:r>
        <w:t xml:space="preserve">A publicly accessible Istanbul Optometric Service Atlas identifying priority zones for new clinic licensing.</w:t>
      </w:r>
    </w:p>
    <w:p>
      <w:pPr>
        <w:numPr>
          <w:ilvl w:val="0"/>
          <w:numId w:val="1007"/>
        </w:numPr>
        <w:pStyle w:val="Compact"/>
      </w:pPr>
      <w:r>
        <w:t xml:space="preserve">A formal policy brief recommending scope-of-practice amendments to the Turkish Optometry Law.</w:t>
      </w:r>
    </w:p>
    <w:p>
      <w:pPr>
        <w:numPr>
          <w:ilvl w:val="0"/>
          <w:numId w:val="1007"/>
        </w:numPr>
        <w:pStyle w:val="Compact"/>
      </w:pPr>
      <w:r>
        <w:t xml:space="preserve">An operational toolkit for CHC managers to implement optometrist-led screening programs (e.g., diabetic retinopathy prevention protocols).</w:t>
      </w:r>
    </w:p>
    <w:p>
      <w:pPr>
        <w:numPr>
          <w:ilvl w:val="0"/>
          <w:numId w:val="1007"/>
        </w:numPr>
        <w:pStyle w:val="Compact"/>
      </w:pPr>
      <w:r>
        <w:t xml:space="preserve">Three peer-reviewed publications targeting journals like the *Turkish Journal of Ophthalmology* and *Eye &amp; Contact Lens*.</w:t>
      </w:r>
    </w:p>
    <w:bookmarkEnd w:id="30"/>
    <w:bookmarkStart w:id="32" w:name="conclusion"/>
    <w:p>
      <w:pPr>
        <w:pStyle w:val="Heading2"/>
      </w:pPr>
      <w:r>
        <w:t xml:space="preserve">8. Conclusion</w:t>
      </w:r>
    </w:p>
    <w:p>
      <w:pPr>
        <w:pStyle w:val="FirstParagraph"/>
      </w:pPr>
      <w:r>
        <w:t xml:space="preserve">Istanbul’s visual health crisis demands urgent, context-specific solutions centered on the</w:t>
      </w:r>
      <w:r>
        <w:t xml:space="preserve"> </w:t>
      </w:r>
      <w:r>
        <w:rPr>
          <w:iCs/>
          <w:i/>
        </w:rPr>
        <w:t xml:space="preserve">Optometrist</w:t>
      </w:r>
      <w:r>
        <w:t xml:space="preserve">. This research proposal moves beyond generic academic inquiry to deliver actionable, locally grounded strategies that advance Turkey’s healthcare sovereignty. By empowering optometrists as primary eye health gatekeepers in Istanbul—where 15 million lives intersect with urban health challenges—the study will catalyze a paradigm shift: from reactive disease treatment to sustainable, community-driven prevention. The results promise not only improved vision outcomes but also a strengthened public health system that serves as a model for Turkey and beyond.</w:t>
      </w:r>
    </w:p>
    <w:bookmarkStart w:id="31" w:name="keywords"/>
    <w:p>
      <w:pPr>
        <w:pStyle w:val="Heading3"/>
      </w:pPr>
      <w:r>
        <w:t xml:space="preserve">Keywords:</w:t>
      </w:r>
    </w:p>
    <w:p>
      <w:pPr>
        <w:pStyle w:val="FirstParagraph"/>
      </w:pPr>
      <w:r>
        <w:t xml:space="preserve">Optometrist; Eye Care Access; Istanbul Healthcare; Turkey Public Health Policy; Urban Optometry; Vision Screening</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Services in Urban Turkey, Istanbul</dc:title>
  <dc:creator/>
  <dc:language>en</dc:language>
  <cp:keywords/>
  <dcterms:created xsi:type="dcterms:W3CDTF">2026-07-22T04:15:07Z</dcterms:created>
  <dcterms:modified xsi:type="dcterms:W3CDTF">2026-07-22T04:15:07Z</dcterms:modified>
</cp:coreProperties>
</file>

<file path=docProps/custom.xml><?xml version="1.0" encoding="utf-8"?>
<Properties xmlns="http://schemas.openxmlformats.org/officeDocument/2006/custom-properties" xmlns:vt="http://schemas.openxmlformats.org/officeDocument/2006/docPropsVTypes"/>
</file>