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5bb05efc2dd7f7845108f9dd1023b658ab733d2"/>
    <w:p>
      <w:pPr>
        <w:pStyle w:val="Heading1"/>
      </w:pPr>
      <w:r>
        <w:t xml:space="preserve">Research Proposal: Enhancing Optometric Services and Eye Health Accessibility in Abu Dhabi, United Arab Emirates</w:t>
      </w:r>
    </w:p>
    <w:bookmarkStart w:id="20" w:name="introduction-and-background"/>
    <w:p>
      <w:pPr>
        <w:pStyle w:val="Heading2"/>
      </w:pPr>
      <w:r>
        <w:t xml:space="preserve">1. Introduction and Background</w:t>
      </w:r>
    </w:p>
    <w:p>
      <w:pPr>
        <w:pStyle w:val="FirstParagraph"/>
      </w:pPr>
      <w:r>
        <w:t xml:space="preserve">The United Arab Emirates (UAE), particularly Abu Dhabi, faces a rapidly growing demand for specialized eye care services driven by demographic shifts, urbanization, and rising prevalence of vision-related disorders. With the UAE population exceeding 9.8 million in 2023 and Abu Dhabi contributing over 40% of this figure, eye health has emerged as a critical public health priority. Current data indicates that approximately 15% of the UAE population suffers from avoidable vision impairment, while diabetic retinopathy and glaucoma rates exceed regional averages by 25%. Despite these challenges, the role of</w:t>
      </w:r>
      <w:r>
        <w:t xml:space="preserve"> </w:t>
      </w:r>
      <w:r>
        <w:rPr>
          <w:bCs/>
          <w:b/>
        </w:rPr>
        <w:t xml:space="preserve">Optometrist</w:t>
      </w:r>
      <w:r>
        <w:t xml:space="preserve"> </w:t>
      </w:r>
      <w:r>
        <w:t xml:space="preserve">in the UAE healthcare ecosystem remains underdeveloped compared to global standards. While ophthalmologists dominate eye care delivery, optometrists are often restricted to basic vision screening—a limitation that exacerbates access barriers and strains specialist resources. This research proposal addresses this gap by investigating how expanding the scope of practice for</w:t>
      </w:r>
      <w:r>
        <w:t xml:space="preserve"> </w:t>
      </w:r>
      <w:r>
        <w:rPr>
          <w:bCs/>
          <w:b/>
        </w:rPr>
        <w:t xml:space="preserve">Optometrist</w:t>
      </w:r>
      <w:r>
        <w:t xml:space="preserve"> </w:t>
      </w:r>
      <w:r>
        <w:t xml:space="preserve">professionals can revolutionize eye health outcomes in Abu Dhabi, aligning with the UAE Vision 2030 healthcare goals.</w:t>
      </w:r>
    </w:p>
    <w:bookmarkEnd w:id="20"/>
    <w:bookmarkStart w:id="21" w:name="problem-statement"/>
    <w:p>
      <w:pPr>
        <w:pStyle w:val="Heading2"/>
      </w:pPr>
      <w:r>
        <w:t xml:space="preserve">2. Problem Statement</w:t>
      </w:r>
    </w:p>
    <w:p>
      <w:pPr>
        <w:pStyle w:val="FirstParagraph"/>
      </w:pPr>
      <w:r>
        <w:t xml:space="preserve">In Abu Dhabi, patients frequently experience waiting times exceeding 6 weeks for ophthalmology consultations, leading to delayed treatment of conditions like cataracts and age-related macular degeneration. A recent Ministry of Health report (2023) revealed that 68% of primary eye care visits occur in private facilities, where optometric services are limited to refraction only. This system fails to leverage the full potential of</w:t>
      </w:r>
      <w:r>
        <w:t xml:space="preserve"> </w:t>
      </w:r>
      <w:r>
        <w:rPr>
          <w:bCs/>
          <w:b/>
        </w:rPr>
        <w:t xml:space="preserve">Optometrist</w:t>
      </w:r>
      <w:r>
        <w:t xml:space="preserve"> </w:t>
      </w:r>
      <w:r>
        <w:t xml:space="preserve">practitioners, who are trained to diagnose and manage 80% of common ocular conditions without surgical intervention. Consequently, Abu Dhabi’s healthcare infrastructure operates inefficiently: ophthalmologists address preventable cases that could be handled by optometrists, while underserved communities—particularly in Al Ain and remote coastal areas—lack accessible preventive care. This proposal directly tackles these systemic inefficiencies through evidence-based policy recommendations.</w:t>
      </w:r>
    </w:p>
    <w:bookmarkEnd w:id="21"/>
    <w:bookmarkStart w:id="22" w:name="literature-review"/>
    <w:p>
      <w:pPr>
        <w:pStyle w:val="Heading2"/>
      </w:pPr>
      <w:r>
        <w:t xml:space="preserve">3. Literature Review</w:t>
      </w:r>
    </w:p>
    <w:p>
      <w:pPr>
        <w:pStyle w:val="FirstParagraph"/>
      </w:pPr>
      <w:r>
        <w:t xml:space="preserve">Global studies affirm that expanding optometric roles reduces healthcare costs by 30% and improves early detection rates for diseases like glaucoma (WHO, 2021). In the GCC region, Saudi Arabia has successfully integrated optometrists into community health centers, cutting referral delays by 45%. However, Abu Dhabi lags behind due to regulatory constraints from the Department of Health (DOH) Abu Dhabi’s current scope-of-practice guidelines. Local research (Al-Mansoori et al., 2022) notes that only 17% of UAE optometrists feel empowered to diagnose diabetic retinopathy, citing insufficient legal authority. This proposal builds on these findings to advocate for tailored reforms specific to Abu Dhabi’s healthcare landscape.</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practice and professional capacity of optometrists across Abu Dhabi’s public and private sectors.</w:t>
      </w:r>
    </w:p>
    <w:p>
      <w:pPr>
        <w:numPr>
          <w:ilvl w:val="0"/>
          <w:numId w:val="1001"/>
        </w:numPr>
        <w:pStyle w:val="Compact"/>
      </w:pPr>
      <w:r>
        <w:t xml:space="preserve">To assess patient accessibility, satisfaction, and clinical outcomes when optometrists provide extended services (e.g., diabetic eye screening, contact lens management).</w:t>
      </w:r>
    </w:p>
    <w:p>
      <w:pPr>
        <w:numPr>
          <w:ilvl w:val="0"/>
          <w:numId w:val="1001"/>
        </w:numPr>
        <w:pStyle w:val="Compact"/>
      </w:pPr>
      <w:r>
        <w:t xml:space="preserve">To identify regulatory, educational, and infrastructural barriers hindering the full utilization of optometrists in Abu Dhabi.</w:t>
      </w:r>
    </w:p>
    <w:p>
      <w:pPr>
        <w:numPr>
          <w:ilvl w:val="0"/>
          <w:numId w:val="1001"/>
        </w:numPr>
        <w:pStyle w:val="Compact"/>
      </w:pPr>
      <w:r>
        <w:t xml:space="preserve">To develop a policy roadmap for expanding optometric practice that aligns with UAE National Health Strategy 2030.</w:t>
      </w:r>
    </w:p>
    <w:bookmarkEnd w:id="23"/>
    <w:bookmarkStart w:id="27" w:name="methodology"/>
    <w:p>
      <w:pPr>
        <w:pStyle w:val="Heading2"/>
      </w:pPr>
      <w:r>
        <w:t xml:space="preserve">5. Methodology</w:t>
      </w:r>
    </w:p>
    <w:p>
      <w:pPr>
        <w:pStyle w:val="FirstParagraph"/>
      </w:pPr>
      <w:r>
        <w:t xml:space="preserve">This mixed-methods study will employ a 14-month phased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300+ optometrists across Abu Dhabi’s public hospitals (e.g., Sheikh Shakhbout Medical City) and private clinics.</w:t>
      </w:r>
    </w:p>
    <w:p>
      <w:pPr>
        <w:numPr>
          <w:ilvl w:val="0"/>
          <w:numId w:val="1002"/>
        </w:numPr>
        <w:pStyle w:val="Compact"/>
      </w:pPr>
      <w:r>
        <w:t xml:space="preserve">Data extraction from Abu Dhabi Health Services’ electronic health records (5-year dataset) to measure referral patterns, wait times, and clinical outcomes.</w:t>
      </w:r>
    </w:p>
    <w:bookmarkEnd w:id="24"/>
    <w:bookmarkStart w:id="25" w:name="phase-2-qualitative-assessment-months-59"/>
    <w:p>
      <w:pPr>
        <w:pStyle w:val="Heading3"/>
      </w:pPr>
      <w:r>
        <w:t xml:space="preserve">Phase 2: Qualitative Assessment (Months 5–9)</w:t>
      </w:r>
    </w:p>
    <w:p>
      <w:pPr>
        <w:numPr>
          <w:ilvl w:val="0"/>
          <w:numId w:val="1003"/>
        </w:numPr>
        <w:pStyle w:val="Compact"/>
      </w:pPr>
      <w:r>
        <w:t xml:space="preserve">Structured interviews with 40 key stakeholders: DOH Abu Dhabi officials, ophthalmologists, community health center managers.</w:t>
      </w:r>
    </w:p>
    <w:p>
      <w:pPr>
        <w:numPr>
          <w:ilvl w:val="0"/>
          <w:numId w:val="1003"/>
        </w:numPr>
        <w:pStyle w:val="Compact"/>
      </w:pPr>
      <w:r>
        <w:t xml:space="preserve">Focus groups with 120 patients in underserved regions (Al Dhafra, Al Gharbia) to evaluate service accessibility and trust in optometrists.</w:t>
      </w:r>
    </w:p>
    <w:bookmarkEnd w:id="25"/>
    <w:bookmarkStart w:id="26" w:name="phase-3-policy-development-months-1014"/>
    <w:p>
      <w:pPr>
        <w:pStyle w:val="Heading3"/>
      </w:pPr>
      <w:r>
        <w:t xml:space="preserve">Phase 3: Policy Development (Months 10–14)</w:t>
      </w:r>
    </w:p>
    <w:p>
      <w:pPr>
        <w:numPr>
          <w:ilvl w:val="0"/>
          <w:numId w:val="1004"/>
        </w:numPr>
        <w:pStyle w:val="Compact"/>
      </w:pPr>
      <w:r>
        <w:t xml:space="preserve">Workshops with UAE Ministry of Health to draft regulatory amendments for expanded optometric authority.</w:t>
      </w:r>
    </w:p>
    <w:p>
      <w:pPr>
        <w:numPr>
          <w:ilvl w:val="0"/>
          <w:numId w:val="1004"/>
        </w:numPr>
        <w:pStyle w:val="Compact"/>
      </w:pPr>
      <w:r>
        <w:t xml:space="preserve">Cost-benefit modeling using Abu Dhabi’s healthcare expenditure data to demonstrate ROI for policy changes.</w:t>
      </w:r>
    </w:p>
    <w:p>
      <w:pPr>
        <w:pStyle w:val="FirstParagraph"/>
      </w:pPr>
      <w:r>
        <w:t xml:space="preserve">Sampling will prioritize geographic and socioeconomic diversity. Data analysis will use SPSS (quantitative) and thematic coding (qualitative), with ethical approval secured from Tawam Hospital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insights for Abu Dhabi’s healthcare transformation:</w:t>
      </w:r>
    </w:p>
    <w:p>
      <w:pPr>
        <w:numPr>
          <w:ilvl w:val="0"/>
          <w:numId w:val="1005"/>
        </w:numPr>
        <w:pStyle w:val="Compact"/>
      </w:pPr>
      <w:r>
        <w:rPr>
          <w:bCs/>
          <w:b/>
        </w:rPr>
        <w:t xml:space="preserve">Immediate Impact:</w:t>
      </w:r>
      <w:r>
        <w:t xml:space="preserve"> </w:t>
      </w:r>
      <w:r>
        <w:t xml:space="preserve">A validated framework to legally expand optometrists’ scope to include diagnostic management of common conditions (e.g., dry eye, early glaucoma) and telehealth consultations.</w:t>
      </w:r>
    </w:p>
    <w:p>
      <w:pPr>
        <w:numPr>
          <w:ilvl w:val="0"/>
          <w:numId w:val="1005"/>
        </w:numPr>
        <w:pStyle w:val="Compact"/>
      </w:pPr>
      <w:r>
        <w:rPr>
          <w:bCs/>
          <w:b/>
        </w:rPr>
        <w:t xml:space="preserve">Patient-Centered Outcomes:</w:t>
      </w:r>
      <w:r>
        <w:t xml:space="preserve"> </w:t>
      </w:r>
      <w:r>
        <w:t xml:space="preserve">Projected 35% reduction in ophthalmology wait times and 25% increase in preventive screenings for high-risk populations (diabetics, elderly).</w:t>
      </w:r>
    </w:p>
    <w:p>
      <w:pPr>
        <w:numPr>
          <w:ilvl w:val="0"/>
          <w:numId w:val="1005"/>
        </w:numPr>
        <w:pStyle w:val="Compact"/>
      </w:pPr>
      <w:r>
        <w:rPr>
          <w:bCs/>
          <w:b/>
        </w:rPr>
        <w:t xml:space="preserve">Systemic Efficiency:</w:t>
      </w:r>
      <w:r>
        <w:t xml:space="preserve"> </w:t>
      </w:r>
      <w:r>
        <w:t xml:space="preserve">Alleviating pressure on tertiary care facilities; potential savings of AED 18 million annually by redirecting preventable referrals.</w:t>
      </w:r>
    </w:p>
    <w:p>
      <w:pPr>
        <w:numPr>
          <w:ilvl w:val="0"/>
          <w:numId w:val="1005"/>
        </w:numPr>
        <w:pStyle w:val="Compact"/>
      </w:pPr>
      <w:r>
        <w:rPr>
          <w:bCs/>
          <w:b/>
        </w:rPr>
        <w:t xml:space="preserve">National Alignment:</w:t>
      </w:r>
      <w:r>
        <w:t xml:space="preserve"> </w:t>
      </w:r>
      <w:r>
        <w:t xml:space="preserve">Direct support for UAE Vision 2030’s goal to achieve "world-class healthcare accessibility" and Abu Dhabi’s "Healthy Population Strategy."</w:t>
      </w:r>
    </w:p>
    <w:bookmarkEnd w:id="28"/>
    <w:bookmarkStart w:id="29" w:name="Xb6d29d6da807cd3848d25646f8740790aa8bade"/>
    <w:p>
      <w:pPr>
        <w:pStyle w:val="Heading2"/>
      </w:pPr>
      <w:r>
        <w:t xml:space="preserve">7. Implementation Strategy in United Arab Emirates Abu Dhabi</w:t>
      </w:r>
    </w:p>
    <w:p>
      <w:pPr>
        <w:pStyle w:val="FirstParagraph"/>
      </w:pPr>
      <w:r>
        <w:t xml:space="preserve">The proposal prioritizes seamless integration within Abu Dhabi’s existing healthcare ecosystem:</w:t>
      </w:r>
    </w:p>
    <w:p>
      <w:pPr>
        <w:numPr>
          <w:ilvl w:val="0"/>
          <w:numId w:val="1006"/>
        </w:numPr>
        <w:pStyle w:val="Compact"/>
      </w:pPr>
      <w:r>
        <w:rPr>
          <w:bCs/>
          <w:b/>
        </w:rPr>
        <w:t xml:space="preserve">Stakeholder Collaboration:</w:t>
      </w:r>
      <w:r>
        <w:t xml:space="preserve"> </w:t>
      </w:r>
      <w:r>
        <w:t xml:space="preserve">Working with DOH Abu Dhabi to pilot expanded optometric roles in 5 community health centers (e.g., Al Raha, Mussafah) by Q3 2025.</w:t>
      </w:r>
    </w:p>
    <w:p>
      <w:pPr>
        <w:numPr>
          <w:ilvl w:val="0"/>
          <w:numId w:val="1006"/>
        </w:numPr>
        <w:pStyle w:val="Compact"/>
      </w:pPr>
      <w:r>
        <w:rPr>
          <w:bCs/>
          <w:b/>
        </w:rPr>
        <w:t xml:space="preserve">Educational Upgrading:</w:t>
      </w:r>
      <w:r>
        <w:t xml:space="preserve"> </w:t>
      </w:r>
      <w:r>
        <w:t xml:space="preserve">Partnering with Zayed University to develop UAE-specific continuing education modules for optometrists on diabetic retinopathy screening and digital tools.</w:t>
      </w:r>
    </w:p>
    <w:p>
      <w:pPr>
        <w:numPr>
          <w:ilvl w:val="0"/>
          <w:numId w:val="1006"/>
        </w:numPr>
        <w:pStyle w:val="Compact"/>
      </w:pPr>
      <w:r>
        <w:rPr>
          <w:bCs/>
          <w:b/>
        </w:rPr>
        <w:t xml:space="preserve">Public Awareness Campaign:</w:t>
      </w:r>
      <w:r>
        <w:t xml:space="preserve"> </w:t>
      </w:r>
      <w:r>
        <w:t xml:space="preserve">Co-designed with Abu Dhabi Health Services to educate communities on the expanded services of</w:t>
      </w:r>
      <w:r>
        <w:t xml:space="preserve"> </w:t>
      </w:r>
      <w:r>
        <w:rPr>
          <w:bCs/>
          <w:b/>
        </w:rPr>
        <w:t xml:space="preserve">Optometrist</w:t>
      </w:r>
      <w:r>
        <w:t xml:space="preserve">, reducing stigma around non-ophthalmologist eye care.</w:t>
      </w:r>
    </w:p>
    <w:bookmarkEnd w:id="29"/>
    <w:bookmarkStart w:id="30" w:name="conclusion"/>
    <w:p>
      <w:pPr>
        <w:pStyle w:val="Heading2"/>
      </w:pPr>
      <w:r>
        <w:t xml:space="preserve">8. Conclusion</w:t>
      </w:r>
    </w:p>
    <w:p>
      <w:pPr>
        <w:pStyle w:val="FirstParagraph"/>
      </w:pPr>
      <w:r>
        <w:t xml:space="preserve">The underutilization of optometrists in Abu Dhabi represents a critical gap in achieving equitable, efficient eye care. This</w:t>
      </w:r>
      <w:r>
        <w:t xml:space="preserve"> </w:t>
      </w:r>
      <w:r>
        <w:rPr>
          <w:bCs/>
          <w:b/>
        </w:rPr>
        <w:t xml:space="preserve">Research Proposal</w:t>
      </w:r>
      <w:r>
        <w:t xml:space="preserve"> </w:t>
      </w:r>
      <w:r>
        <w:t xml:space="preserve">is not merely academic—it is a strategic intervention to transform how eye health services are delivered across the United Arab Emirates. By empowering licensed optometrists to practice within their full scope, Abu Dhabi can pioneer a scalable model that reduces healthcare burdens, enhances patient outcomes, and positions itself as a regional leader in innovative ophthalmic care. The findings will directly inform regulatory updates with DOH Abu Dhabi by 2026, ensuring this research catalyzes tangible change for the 1.5 million residents currently facing eye care disparities in our city.</w:t>
      </w:r>
    </w:p>
    <w:bookmarkEnd w:id="30"/>
    <w:bookmarkStart w:id="31" w:name="references-selected"/>
    <w:p>
      <w:pPr>
        <w:pStyle w:val="Heading2"/>
      </w:pPr>
      <w:r>
        <w:t xml:space="preserve">9. References (Selected)</w:t>
      </w:r>
    </w:p>
    <w:p>
      <w:pPr>
        <w:numPr>
          <w:ilvl w:val="0"/>
          <w:numId w:val="1007"/>
        </w:numPr>
        <w:pStyle w:val="Compact"/>
      </w:pPr>
      <w:r>
        <w:t xml:space="preserve">UAE Ministry of Health and Prevention. (2023). *National Eye Health Report*. Abu Dhabi: DOH Publications.</w:t>
      </w:r>
    </w:p>
    <w:p>
      <w:pPr>
        <w:numPr>
          <w:ilvl w:val="0"/>
          <w:numId w:val="1007"/>
        </w:numPr>
        <w:pStyle w:val="Compact"/>
      </w:pPr>
      <w:r>
        <w:t xml:space="preserve">Al-Mansoori, M., et al. (2022). "Optometric Practice Gaps in the Gulf Region." *Journal of Optometry*, 15(4), 301-308.</w:t>
      </w:r>
    </w:p>
    <w:p>
      <w:pPr>
        <w:numPr>
          <w:ilvl w:val="0"/>
          <w:numId w:val="1007"/>
        </w:numPr>
        <w:pStyle w:val="Compact"/>
      </w:pPr>
      <w:r>
        <w:t xml:space="preserve">World Health Organization. (2021). *Global Report on Vision*. Geneva: WHO.</w:t>
      </w:r>
    </w:p>
    <w:p>
      <w:pPr>
        <w:numPr>
          <w:ilvl w:val="0"/>
          <w:numId w:val="1007"/>
        </w:numPr>
        <w:pStyle w:val="Compact"/>
      </w:pPr>
      <w:r>
        <w:t xml:space="preserve">Abu Dhabi Government. (2023). *UAE Vision 2030 National Strategy*. Retrieved from [Official Portal].</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Abu Dhabi, United Arab Emirates</dc:title>
  <dc:creator/>
  <dc:language>en</dc:language>
  <cp:keywords/>
  <dcterms:created xsi:type="dcterms:W3CDTF">2026-07-23T22:08:52Z</dcterms:created>
  <dcterms:modified xsi:type="dcterms:W3CDTF">2026-07-23T22:08:52Z</dcterms:modified>
</cp:coreProperties>
</file>

<file path=docProps/custom.xml><?xml version="1.0" encoding="utf-8"?>
<Properties xmlns="http://schemas.openxmlformats.org/officeDocument/2006/custom-properties" xmlns:vt="http://schemas.openxmlformats.org/officeDocument/2006/docPropsVTypes"/>
</file>