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Melbourne,</w:t>
      </w:r>
      <w:r>
        <w:t xml:space="preserve"> </w:t>
      </w:r>
      <w:r>
        <w:t xml:space="preserve">Australia</w:t>
      </w:r>
    </w:p>
    <w:bookmarkStart w:id="31" w:name="X385389c052ba939fa91f7ea9abc1646e2da3eed"/>
    <w:p>
      <w:pPr>
        <w:pStyle w:val="Heading1"/>
      </w:pPr>
      <w:r>
        <w:t xml:space="preserve">Research Proposal: Enhancing Orthodontic Care Accessibility and Innovation in Melbourne, Australia</w:t>
      </w:r>
    </w:p>
    <w:bookmarkStart w:id="20" w:name="introduction-and-background"/>
    <w:p>
      <w:pPr>
        <w:pStyle w:val="Heading2"/>
      </w:pPr>
      <w:r>
        <w:t xml:space="preserve">Introduction and Background</w:t>
      </w:r>
    </w:p>
    <w:p>
      <w:pPr>
        <w:pStyle w:val="FirstParagraph"/>
      </w:pPr>
      <w:r>
        <w:t xml:space="preserve">The field of orthodontics in Australia faces evolving challenges driven by demographic shifts, technological advancements, and healthcare policy changes. As the most populous city in Victoria, Melbourne serves as a critical microcosm for studying orthodontic practice dynamics across Australia. With a population exceeding 5 million residents and significant cultural diversity, Melbourne's dental landscape reflects both the opportunities and disparities within Australian healthcare. Current data indicates that approximately 32% of Victorians under 18 require orthodontic intervention, yet wait times for public services exceed 18 months while private care remains financially inaccessible for many. This research proposal addresses the urgent need to analyze systemic barriers, technological integration, and patient outcomes within Melbourne's orthodontic sector—a pivotal focus for Australia's national oral health strategy.</w:t>
      </w:r>
    </w:p>
    <w:bookmarkEnd w:id="20"/>
    <w:bookmarkStart w:id="21" w:name="problem-statement"/>
    <w:p>
      <w:pPr>
        <w:pStyle w:val="Heading2"/>
      </w:pPr>
      <w:r>
        <w:t xml:space="preserve">Problem Statement</w:t>
      </w:r>
    </w:p>
    <w:p>
      <w:pPr>
        <w:pStyle w:val="FirstParagraph"/>
      </w:pPr>
      <w:r>
        <w:t xml:space="preserve">Despite Melbourne hosting over 500 registered Orthodontists (as of 2023), significant inequities persist in service delivery. Socioeconomically disadvantaged communities, particularly in outer metropolitan areas like Casey and Moreland, experience up to 40% longer treatment initiation times compared to affluent suburbs. Concurrently, the rapid adoption of digital workflows—such as intraoral scanners and AI-driven treatment planning—has created a knowledge gap between urban specialists and regional practices. Crucially, no comprehensive study has evaluated how Melbourne’s unique healthcare ecosystem (combining Medicare-subsidised public services, private insurance models, and dental tourism) impacts orthodontic accessibility across Australia. This research directly targets this void to inform policy development in Victoria and national health frameworks.</w:t>
      </w:r>
    </w:p>
    <w:bookmarkEnd w:id="21"/>
    <w:bookmarkStart w:id="22" w:name="literature-review-summary"/>
    <w:p>
      <w:pPr>
        <w:pStyle w:val="Heading2"/>
      </w:pPr>
      <w:r>
        <w:t xml:space="preserve">Literature Review Summary</w:t>
      </w:r>
    </w:p>
    <w:p>
      <w:pPr>
        <w:pStyle w:val="FirstParagraph"/>
      </w:pPr>
      <w:r>
        <w:t xml:space="preserve">Existing Australian studies (e.g., Australian Institute of Health and Welfare, 2021) confirm that orthodontic care remains predominantly private-funded, with only 8% of treatments subsidized through Medicare's Child Dental Benefits Schedule (CDBS). In Melbourne specifically, research by the University of Melbourne Dental School (2022) noted that dental health services are concentrated in inner-city areas, creating "orthodontic deserts" in growing suburbs. Meanwhile, global literature on AI-assisted orthodontics (e.g., Kim et al., 2023) highlights improved efficiency but lacks Australian contextual data. This project bridges these gaps by examining Melbourne as the nexus where policy, technology and community needs intersect—a vital case study for Australia’s dental workforce planning.</w:t>
      </w:r>
    </w:p>
    <w:bookmarkEnd w:id="22"/>
    <w:bookmarkStart w:id="23" w:name="research-objectives"/>
    <w:p>
      <w:pPr>
        <w:pStyle w:val="Heading2"/>
      </w:pPr>
      <w:r>
        <w:t xml:space="preserve">Research Objectives</w:t>
      </w:r>
    </w:p>
    <w:p>
      <w:pPr>
        <w:numPr>
          <w:ilvl w:val="0"/>
          <w:numId w:val="1001"/>
        </w:numPr>
        <w:pStyle w:val="Compact"/>
      </w:pPr>
      <w:r>
        <w:t xml:space="preserve">To map orthodontic service distribution across Melbourne’s 31 local government areas, identifying geographic equity gaps using GIS analysis.</w:t>
      </w:r>
    </w:p>
    <w:p>
      <w:pPr>
        <w:numPr>
          <w:ilvl w:val="0"/>
          <w:numId w:val="1001"/>
        </w:numPr>
        <w:pStyle w:val="Compact"/>
      </w:pPr>
      <w:r>
        <w:t xml:space="preserve">To assess the adoption rate and clinical impact of digital tools (3D scanning, AI diagnostics) among Melbourne Orthodontists relative to national standards.</w:t>
      </w:r>
    </w:p>
    <w:p>
      <w:pPr>
        <w:numPr>
          <w:ilvl w:val="0"/>
          <w:numId w:val="1001"/>
        </w:numPr>
        <w:pStyle w:val="Compact"/>
      </w:pPr>
      <w:r>
        <w:t xml:space="preserve">To evaluate patient experiences across socioeconomic strata, focusing on barriers to care in Melbourne’s public-private healthcare continuum.</w:t>
      </w:r>
    </w:p>
    <w:p>
      <w:pPr>
        <w:numPr>
          <w:ilvl w:val="0"/>
          <w:numId w:val="1001"/>
        </w:numPr>
        <w:pStyle w:val="Compact"/>
      </w:pPr>
      <w:r>
        <w:t xml:space="preserve">To develop evidence-based recommendations for enhancing orthodontic accessibility within Australia's Medicare system and Victorian health policy.</w:t>
      </w:r>
    </w:p>
    <w:bookmarkEnd w:id="23"/>
    <w:bookmarkStart w:id="26" w:name="methodology"/>
    <w:p>
      <w:pPr>
        <w:pStyle w:val="Heading2"/>
      </w:pPr>
      <w:r>
        <w:t xml:space="preserve">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Collect and geocode data from the Victorian Dental Board (600 Orthodontists), Medicare, and Australian Bureau of Statistics to map service density vs. population need.</w:t>
      </w:r>
    </w:p>
    <w:p>
      <w:pPr>
        <w:numPr>
          <w:ilvl w:val="0"/>
          <w:numId w:val="1002"/>
        </w:numPr>
        <w:pStyle w:val="Compact"/>
      </w:pPr>
      <w:r>
        <w:t xml:space="preserve">Survey 250 Melbourne Orthodontists via the Australian Society of Orthodontists (ASO) portal on technology use, referral patterns, and treatment wait times.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Conduct in-depth interviews with 40 patients from diverse socioeconomic backgrounds across Melbourne’s priority areas (e.g., Dandenong, Maribyrnong).</w:t>
      </w:r>
    </w:p>
    <w:p>
      <w:pPr>
        <w:numPr>
          <w:ilvl w:val="0"/>
          <w:numId w:val="1003"/>
        </w:numPr>
        <w:pStyle w:val="Compact"/>
      </w:pPr>
      <w:r>
        <w:t xml:space="preserve">Focus groups with Orthodontist leaders from public hospitals (e.g., Royal Children's Hospital) and private practices to explore systemic constraints.</w:t>
      </w:r>
    </w:p>
    <w:p>
      <w:pPr>
        <w:pStyle w:val="FirstParagraph"/>
      </w:pPr>
      <w:r>
        <w:t xml:space="preserve">Phase 3: Integrated Synthesis (Months 9-12)</w:t>
      </w:r>
    </w:p>
    <w:p>
      <w:pPr>
        <w:numPr>
          <w:ilvl w:val="0"/>
          <w:numId w:val="1004"/>
        </w:numPr>
        <w:pStyle w:val="Compact"/>
      </w:pPr>
      <w:r>
        <w:t xml:space="preserve">Triangulate data using NVivo for qualitative analysis and ArcGIS for spatial mapping.</w:t>
      </w:r>
    </w:p>
    <w:p>
      <w:pPr>
        <w:numPr>
          <w:ilvl w:val="0"/>
          <w:numId w:val="1004"/>
        </w:numPr>
        <w:pStyle w:val="Compact"/>
      </w:pPr>
      <w:r>
        <w:t xml:space="preserve">Co-design policy briefs with ASO, Victorian Department of Health, and community dental networks.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Melbourne-specific insights to address national challenges in orthodontic care. Key outcomes include:</w:t>
      </w:r>
    </w:p>
    <w:p>
      <w:pPr>
        <w:numPr>
          <w:ilvl w:val="0"/>
          <w:numId w:val="1005"/>
        </w:numPr>
        <w:pStyle w:val="Compact"/>
      </w:pPr>
      <w:r>
        <w:t xml:space="preserve">A publicly accessible "Orthodontic Equity Dashboard" visualizing service gaps across Melbourne’s suburbs, enabling targeted resource allocation by local health districts.</w:t>
      </w:r>
    </w:p>
    <w:p>
      <w:pPr>
        <w:numPr>
          <w:ilvl w:val="0"/>
          <w:numId w:val="1005"/>
        </w:numPr>
        <w:pStyle w:val="Compact"/>
      </w:pPr>
      <w:r>
        <w:t xml:space="preserve">Validation of AI-assisted workflow models that could reduce treatment duration by 15-20%—directly benefiting Australian patients.</w:t>
      </w:r>
    </w:p>
    <w:p>
      <w:pPr>
        <w:numPr>
          <w:ilvl w:val="0"/>
          <w:numId w:val="1005"/>
        </w:numPr>
        <w:pStyle w:val="Compact"/>
      </w:pPr>
      <w:r>
        <w:t xml:space="preserve">A policy framework for expanding Medicare subsidies to cover high-need groups (e.g., low-income families in Melbourne’s northwest), potentially reducing public wait times by 30%.</w:t>
      </w:r>
    </w:p>
    <w:p>
      <w:pPr>
        <w:numPr>
          <w:ilvl w:val="0"/>
          <w:numId w:val="1005"/>
        </w:numPr>
        <w:pStyle w:val="Compact"/>
      </w:pPr>
      <w:r>
        <w:t xml:space="preserve">Establishing Melbourne as a benchmark for orthodontic innovation within Australia, attracting industry partnerships with dental tech firms like DentalX and Ortho Insight.</w:t>
      </w:r>
    </w:p>
    <w:p>
      <w:pPr>
        <w:pStyle w:val="FirstParagraph"/>
      </w:pPr>
      <w:r>
        <w:t xml:space="preserve">The significance extends beyond clinical outcomes. By centering Melbourne’s multicultural context (where 40% of residents speak a language other than English at home), this study will produce culturally tailored care protocols—a critical advancement for Australia’s health equity goals. Findings will directly inform the Victorian Government's Oral Health Action Plan 2030 and contribute to the Australian Dental Association’s national orthodontic workforce strategy.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Mapping</w:t>
      </w:r>
    </w:p>
    <w:p>
      <w:pPr>
        <w:pStyle w:val="BodyText"/>
      </w:pPr>
      <w:r>
        <w:t xml:space="preserve">1-4</w:t>
      </w:r>
    </w:p>
    <w:p>
      <w:pPr>
        <w:pStyle w:val="BodyText"/>
      </w:pPr>
      <w:r>
        <w:t xml:space="preserve">Geospatial service map; Orthodontist survey dataset</w:t>
      </w:r>
    </w:p>
    <w:p>
      <w:pPr>
        <w:pStyle w:val="BodyText"/>
      </w:pPr>
      <w:r>
        <w:t xml:space="preserve">Patient Experience Analysis</w:t>
      </w:r>
    </w:p>
    <w:p>
      <w:pPr>
        <w:pStyle w:val="BodyText"/>
      </w:pPr>
      <w:r>
        <w:t xml:space="preserve">5-8</w:t>
      </w:r>
    </w:p>
    <w:p>
      <w:pPr>
        <w:pStyle w:val="BodyText"/>
      </w:pPr>
      <w:r>
        <w:t xml:space="preserve">Patient report; Interview transcripts (anonymized)</w:t>
      </w:r>
    </w:p>
    <w:p>
      <w:pPr>
        <w:pStyle w:val="BodyText"/>
      </w:pPr>
      <w:r>
        <w:t xml:space="preserve">Policy Development</w:t>
      </w:r>
    </w:p>
    <w:p>
      <w:pPr>
        <w:pStyle w:val="BodyText"/>
      </w:pPr>
      <w:r>
        <w:t xml:space="preserve">9-12</w:t>
      </w:r>
    </w:p>
    <w:p>
      <w:pPr>
        <w:pStyle w:val="BodyText"/>
      </w:pPr>
      <w:r>
        <w:t xml:space="preserve">Final research report; 3 policy briefs for government stakeholders</w:t>
      </w:r>
    </w:p>
    <w:bookmarkEnd w:id="28"/>
    <w:bookmarkStart w:id="29" w:name="conclusion"/>
    <w:p>
      <w:pPr>
        <w:pStyle w:val="Heading2"/>
      </w:pPr>
      <w:r>
        <w:t xml:space="preserve">Conclusion</w:t>
      </w:r>
    </w:p>
    <w:p>
      <w:pPr>
        <w:pStyle w:val="FirstParagraph"/>
      </w:pPr>
      <w:r>
        <w:t xml:space="preserve">Melbourne’s orthodontic sector represents both a national challenge and opportunity. This research proposal directly responds to the urgent need for evidence-based solutions in Australia, where 1.8 million people await orthodontic care (Australian Government, 2023). By centering Melbourne—a city of unprecedented diversity and innovation—we will generate actionable insights for Orthodontists across Australia to deliver equitable, technologically advanced care. The project’s findings will not only transform Victorian oral health outcomes but establish a replicable model for dental service equity nationwide. As Australia faces growing demand from its aging population and increased childhood orthodontic needs, this research positions Melbourne as the catalyst for a more inclusive orthodontic future in Australia.</w:t>
      </w:r>
    </w:p>
    <w:bookmarkEnd w:id="29"/>
    <w:bookmarkStart w:id="30" w:name="references-selected"/>
    <w:p>
      <w:pPr>
        <w:pStyle w:val="Heading2"/>
      </w:pPr>
      <w:r>
        <w:t xml:space="preserve">References (Selected)</w:t>
      </w:r>
    </w:p>
    <w:p>
      <w:pPr>
        <w:numPr>
          <w:ilvl w:val="0"/>
          <w:numId w:val="1006"/>
        </w:numPr>
        <w:pStyle w:val="Compact"/>
      </w:pPr>
      <w:r>
        <w:t xml:space="preserve">Australian Institute of Health and Welfare. (2021). *Dental Services in Australia: 2021*. AIHW Cat. no. DEN 47.</w:t>
      </w:r>
    </w:p>
    <w:p>
      <w:pPr>
        <w:numPr>
          <w:ilvl w:val="0"/>
          <w:numId w:val="1006"/>
        </w:numPr>
        <w:pStyle w:val="Compact"/>
      </w:pPr>
      <w:r>
        <w:t xml:space="preserve">University of Melbourne Dental School. (2022). *Access to Specialist Dental Care in Metropolitan Melbourne*. Report No. UMD-ORH-08.</w:t>
      </w:r>
    </w:p>
    <w:p>
      <w:pPr>
        <w:numPr>
          <w:ilvl w:val="0"/>
          <w:numId w:val="1006"/>
        </w:numPr>
        <w:pStyle w:val="Compact"/>
      </w:pPr>
      <w:r>
        <w:t xml:space="preserve">Kim, J., et al. (2023). AI in Orthodontics: A Global Systematic Review. *Journal of Dental Research*, 102(5), 547–554.</w:t>
      </w:r>
    </w:p>
    <w:p>
      <w:pPr>
        <w:numPr>
          <w:ilvl w:val="0"/>
          <w:numId w:val="1006"/>
        </w:numPr>
        <w:pStyle w:val="Compact"/>
      </w:pPr>
      <w:r>
        <w:t xml:space="preserve">Australian Government Department of Health. (2023). *Child Dental Benefits Schedule Annual Report*.</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Melbourne, Australia</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