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China</w:t>
      </w:r>
      <w:r>
        <w:t xml:space="preserve"> </w:t>
      </w:r>
      <w:r>
        <w:t xml:space="preserve">Guangzhou</w:t>
      </w:r>
    </w:p>
    <w:bookmarkStart w:id="30" w:name="X8447de86e783ec42447e5a1f101c6ae37599342"/>
    <w:p>
      <w:pPr>
        <w:pStyle w:val="Heading1"/>
      </w:pPr>
      <w:r>
        <w:t xml:space="preserve">Research Proposal on Orthodontic Care Accessibility and Innovation in China Guangzhou</w:t>
      </w:r>
    </w:p>
    <w:bookmarkStart w:id="20" w:name="introduction-and-background"/>
    <w:p>
      <w:pPr>
        <w:pStyle w:val="Heading2"/>
      </w:pPr>
      <w:r>
        <w:t xml:space="preserve">1. Introduction and Background</w:t>
      </w:r>
    </w:p>
    <w:p>
      <w:pPr>
        <w:pStyle w:val="FirstParagraph"/>
      </w:pPr>
      <w:r>
        <w:t xml:space="preserve">China Guangzhou, as one of the nation's most populous metropolitan centers with over 15 million residents and a rapidly growing middle class, represents a critical frontier for dental healthcare development. Despite increasing awareness of oral health, significant gaps persist in specialized orthodontic services across the city. The term "</w:t>
      </w:r>
      <w:r>
        <w:rPr>
          <w:bCs/>
          <w:b/>
        </w:rPr>
        <w:t xml:space="preserve">Orthodontist</w:t>
      </w:r>
      <w:r>
        <w:t xml:space="preserve">" refers to a dental specialist trained in correcting misaligned teeth and jaws – an area where Guangzhou faces acute challenges including limited practitioner availability, uneven service distribution, and affordability barriers. This</w:t>
      </w:r>
      <w:r>
        <w:t xml:space="preserve"> </w:t>
      </w:r>
      <w:r>
        <w:rPr>
          <w:bCs/>
          <w:b/>
        </w:rPr>
        <w:t xml:space="preserve">Research Proposal</w:t>
      </w:r>
      <w:r>
        <w:t xml:space="preserve"> </w:t>
      </w:r>
      <w:r>
        <w:t xml:space="preserve">addresses these systemic issues through a comprehensive study focused specifically on Guangzhou's unique urban healthcare landscape. With China's orthodontic market projected to grow at 15% annually (2023-2030), understanding Guangzhou's specific needs is essential for evidence-based policy and resource allocation.</w:t>
      </w:r>
    </w:p>
    <w:bookmarkEnd w:id="20"/>
    <w:bookmarkStart w:id="21" w:name="problem-statement"/>
    <w:p>
      <w:pPr>
        <w:pStyle w:val="Heading2"/>
      </w:pPr>
      <w:r>
        <w:t xml:space="preserve">2. Problem Statement</w:t>
      </w:r>
    </w:p>
    <w:p>
      <w:pPr>
        <w:pStyle w:val="FirstParagraph"/>
      </w:pPr>
      <w:r>
        <w:t xml:space="preserve">Current data reveals that Guangzhou has approximately 1.5 orthodontic specialists per 100,000 residents – significantly below the recommended ratio of 4 per 100,000 in developed nations. This shortage is compounded by geographical concentration: 85% of qualified</w:t>
      </w:r>
      <w:r>
        <w:t xml:space="preserve"> </w:t>
      </w:r>
      <w:r>
        <w:rPr>
          <w:bCs/>
          <w:b/>
        </w:rPr>
        <w:t xml:space="preserve">Orthodontist</w:t>
      </w:r>
      <w:r>
        <w:t xml:space="preserve">s operate in central districts (e.g., Tianhe and Yuexiu), leaving suburban areas like Panyu and Nansha underserved. Simultaneously, patient surveys indicate 68% delay treatment due to cost (averaging ¥25,000-45,000 for full braces) or waiting times exceeding 6 months. Crucially, existing studies on orthodontics in China predominantly focus on Beijing and Shanghai (Wang et al., 2021), neglecting Guangzhou's distinct demographic profile – a city with higher ethnic diversity (including significant overseas Chinese communities), lower average income than coastal metropolises, and unique cultural attitudes toward dental aesthetics. This research gap directly impedes the development of targeted solutions for</w:t>
      </w:r>
      <w:r>
        <w:t xml:space="preserve"> </w:t>
      </w:r>
      <w:r>
        <w:rPr>
          <w:bCs/>
          <w:b/>
        </w:rPr>
        <w:t xml:space="preserve">China Guangzhou</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map the current distribution, capacity, and service utilization patterns of Orthodontist practitioners across all 11 Guangzhou districts.</w:t>
      </w:r>
    </w:p>
    <w:p>
      <w:pPr>
        <w:numPr>
          <w:ilvl w:val="0"/>
          <w:numId w:val="1001"/>
        </w:numPr>
        <w:pStyle w:val="Compact"/>
      </w:pPr>
      <w:r>
        <w:t xml:space="preserve">To identify socioeconomic, cultural, and geographic barriers preventing equitable access to orthodontic care in Guangzhou.</w:t>
      </w:r>
    </w:p>
    <w:p>
      <w:pPr>
        <w:numPr>
          <w:ilvl w:val="0"/>
          <w:numId w:val="1001"/>
        </w:numPr>
        <w:pStyle w:val="Compact"/>
      </w:pPr>
      <w:r>
        <w:t xml:space="preserve">To analyze patient demographics (age groups, income levels, urban/rural residency) seeking orthodontic treatment in the city.</w:t>
      </w:r>
    </w:p>
    <w:p>
      <w:pPr>
        <w:numPr>
          <w:ilvl w:val="0"/>
          <w:numId w:val="1001"/>
        </w:numPr>
        <w:pStyle w:val="Compact"/>
      </w:pPr>
      <w:r>
        <w:t xml:space="preserve">To evaluate the impact of digital orthodontics adoption (e.g., clear aligners, 3D scanning) on service accessibility and patient satisfaction in Guangzhou clinics.</w:t>
      </w:r>
    </w:p>
    <w:p>
      <w:pPr>
        <w:numPr>
          <w:ilvl w:val="0"/>
          <w:numId w:val="1001"/>
        </w:numPr>
        <w:pStyle w:val="Compact"/>
      </w:pPr>
      <w:r>
        <w:t xml:space="preserve">To develop a scalable framework for expanding Orthodontist services that addresses Guangzhou's specific urban health challenges.</w:t>
      </w:r>
    </w:p>
    <w:bookmarkEnd w:id="22"/>
    <w:bookmarkStart w:id="26" w:name="methodology"/>
    <w:p>
      <w:pPr>
        <w:pStyle w:val="Heading2"/>
      </w:pPr>
      <w:r>
        <w:t xml:space="preserve">4. Methodology</w:t>
      </w:r>
    </w:p>
    <w:p>
      <w:pPr>
        <w:pStyle w:val="FirstParagraph"/>
      </w:pPr>
      <w:r>
        <w:t xml:space="preserve">This mixed-methods study will employ a three-phase approach:</w:t>
      </w:r>
    </w:p>
    <w:bookmarkStart w:id="23" w:name="Xa869fc43524c6a5a3b8b0916488ef05078fbbba"/>
    <w:p>
      <w:pPr>
        <w:pStyle w:val="Heading3"/>
      </w:pPr>
      <w:r>
        <w:t xml:space="preserve">Phase 1: Quantitative Data Collection (Months 1-4)</w:t>
      </w:r>
    </w:p>
    <w:p>
      <w:pPr>
        <w:numPr>
          <w:ilvl w:val="0"/>
          <w:numId w:val="1002"/>
        </w:numPr>
        <w:pStyle w:val="Compact"/>
      </w:pPr>
      <w:r>
        <w:t xml:space="preserve">Collaborate with Guangzhou Health Bureau to obtain anonymized clinic data across all public and private dental facilities offering orthodontics.</w:t>
      </w:r>
    </w:p>
    <w:p>
      <w:pPr>
        <w:numPr>
          <w:ilvl w:val="0"/>
          <w:numId w:val="1002"/>
        </w:numPr>
        <w:pStyle w:val="Compact"/>
      </w:pPr>
      <w:r>
        <w:t xml:space="preserve">Conduct a stratified random survey of 1,200 patients from diverse Guangzhou neighborhoods (targeting 30% rural-adjacent districts) using validated Chinese-language questionnaires assessing cost barriers, wait times, and treatment satisfaction.</w:t>
      </w:r>
    </w:p>
    <w:bookmarkEnd w:id="23"/>
    <w:bookmarkStart w:id="24" w:name="X139838645eb49605d98b322aa830bd945506203"/>
    <w:p>
      <w:pPr>
        <w:pStyle w:val="Heading3"/>
      </w:pPr>
      <w:r>
        <w:t xml:space="preserve">Phase 2: Qualitative Insight Gathering (Months 5-8)</w:t>
      </w:r>
    </w:p>
    <w:p>
      <w:pPr>
        <w:numPr>
          <w:ilvl w:val="0"/>
          <w:numId w:val="1003"/>
        </w:numPr>
        <w:pStyle w:val="Compact"/>
      </w:pPr>
      <w:r>
        <w:t xml:space="preserve">Conduct in-depth interviews with 40 Orthodontist practitioners from varied practice settings (public hospitals, private clinics, university-affiliated centers) to explore workflow challenges and service innovation barriers.</w:t>
      </w:r>
    </w:p>
    <w:p>
      <w:pPr>
        <w:numPr>
          <w:ilvl w:val="0"/>
          <w:numId w:val="1003"/>
        </w:numPr>
        <w:pStyle w:val="Compact"/>
      </w:pPr>
      <w:r>
        <w:t xml:space="preserve">Organize focus groups with 8 patient cohorts (teens, young adults, elderly patients; low/middle/high income) to capture cultural perspectives on orthodontic care.</w:t>
      </w:r>
    </w:p>
    <w:bookmarkEnd w:id="24"/>
    <w:bookmarkStart w:id="25" w:name="X86889f88ee2a14a14380497fd4ef2e14dbc93ba"/>
    <w:p>
      <w:pPr>
        <w:pStyle w:val="Heading3"/>
      </w:pPr>
      <w:r>
        <w:t xml:space="preserve">Phase 3: Data Integration &amp; Framework Development (Months 9-12)</w:t>
      </w:r>
    </w:p>
    <w:p>
      <w:pPr>
        <w:numPr>
          <w:ilvl w:val="0"/>
          <w:numId w:val="1004"/>
        </w:numPr>
        <w:pStyle w:val="Compact"/>
      </w:pPr>
      <w:r>
        <w:t xml:space="preserve">Use GIS mapping to visualize service deserts versus population density.</w:t>
      </w:r>
    </w:p>
    <w:p>
      <w:pPr>
        <w:numPr>
          <w:ilvl w:val="0"/>
          <w:numId w:val="1004"/>
        </w:numPr>
        <w:pStyle w:val="Compact"/>
      </w:pPr>
      <w:r>
        <w:t xml:space="preserve">Apply regression analysis to correlate socioeconomic factors with treatment access.</w:t>
      </w:r>
    </w:p>
    <w:p>
      <w:pPr>
        <w:numPr>
          <w:ilvl w:val="0"/>
          <w:numId w:val="1004"/>
        </w:numPr>
        <w:pStyle w:val="Compact"/>
      </w:pPr>
      <w:r>
        <w:t xml:space="preserve">Co-design policy recommendations with Guangzhou Dental Association and municipal health planners.</w:t>
      </w:r>
    </w:p>
    <w:bookmarkEnd w:id="25"/>
    <w:bookmarkEnd w:id="26"/>
    <w:bookmarkStart w:id="27" w:name="X4327c5fd89d750946466a5137035aae6225a578"/>
    <w:p>
      <w:pPr>
        <w:pStyle w:val="Heading2"/>
      </w:pPr>
      <w:r>
        <w:t xml:space="preserve">5. Expected Outcomes and Significance for China Guangzhou</w:t>
      </w:r>
    </w:p>
    <w:p>
      <w:pPr>
        <w:pStyle w:val="FirstParagraph"/>
      </w:pPr>
      <w:r>
        <w:t xml:space="preserve">Our research will produce:</w:t>
      </w:r>
    </w:p>
    <w:p>
      <w:pPr>
        <w:numPr>
          <w:ilvl w:val="0"/>
          <w:numId w:val="1005"/>
        </w:numPr>
        <w:pStyle w:val="Compact"/>
      </w:pPr>
      <w:r>
        <w:t xml:space="preserve">An interactive digital map of orthodontic service gaps across Guangzhou, identifying priority zones for new practitioner placement.</w:t>
      </w:r>
    </w:p>
    <w:p>
      <w:pPr>
        <w:numPr>
          <w:ilvl w:val="0"/>
          <w:numId w:val="1005"/>
        </w:numPr>
        <w:pStyle w:val="Compact"/>
      </w:pPr>
      <w:r>
        <w:t xml:space="preserve">Data-driven cost-reduction strategies (e.g., tiered pricing models, bulk insurance partnerships) to increase accessibility for middle-income families.</w:t>
      </w:r>
    </w:p>
    <w:p>
      <w:pPr>
        <w:numPr>
          <w:ilvl w:val="0"/>
          <w:numId w:val="1005"/>
        </w:numPr>
        <w:pStyle w:val="Compact"/>
      </w:pPr>
      <w:r>
        <w:t xml:space="preserve">A culturally adapted patient education toolkit addressing common misconceptions about orthodontics in Southern Chinese communities.</w:t>
      </w:r>
    </w:p>
    <w:p>
      <w:pPr>
        <w:numPr>
          <w:ilvl w:val="0"/>
          <w:numId w:val="1005"/>
        </w:numPr>
        <w:pStyle w:val="Compact"/>
      </w:pPr>
      <w:r>
        <w:t xml:space="preserve">A scalable "Orthodontic Service Hub" model integrating digital tools with community health centers – specifically designed for Guangzhou's urban density and resource constraints.</w:t>
      </w:r>
    </w:p>
    <w:p>
      <w:pPr>
        <w:pStyle w:val="FirstParagraph"/>
      </w:pPr>
      <w:r>
        <w:t xml:space="preserve">The significance extends beyond clinical outcomes: By positioning</w:t>
      </w:r>
      <w:r>
        <w:t xml:space="preserve"> </w:t>
      </w:r>
      <w:r>
        <w:rPr>
          <w:bCs/>
          <w:b/>
        </w:rPr>
        <w:t xml:space="preserve">China Guangzhou</w:t>
      </w:r>
      <w:r>
        <w:t xml:space="preserve"> </w:t>
      </w:r>
      <w:r>
        <w:t xml:space="preserve">as a pioneer in accessible orthodontic care, this research directly supports the National Health Commission's 2030 Healthy China initiative. It will provide actionable insights for dental schools (e.g., Sun Yat-sen University) to adjust Orthodontist training curricula toward Guangzhou's needs. Critically, it addresses a silent public health crisis – untreated malocclusion contributes to higher rates of TMJ disorders and dental decay in Chinese youth, with cascading effects on education and productivity.</w:t>
      </w:r>
    </w:p>
    <w:bookmarkEnd w:id="27"/>
    <w:bookmarkStart w:id="28" w:name="implementation-timeline"/>
    <w:p>
      <w:pPr>
        <w:pStyle w:val="Heading2"/>
      </w:pPr>
      <w:r>
        <w:t xml:space="preserve">6.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Preparation &amp; Ethics Approval</w:t>
            </w:r>
          </w:p>
        </w:tc>
        <w:tc>
          <w:tcPr/>
          <w:p>
            <w:pPr>
              <w:pStyle w:val="Compact"/>
              <w:jc w:val="left"/>
            </w:pPr>
            <w:r>
              <w:t xml:space="preserve">1-2</w:t>
            </w:r>
          </w:p>
        </w:tc>
        <w:tc>
          <w:tcPr/>
          <w:p>
            <w:pPr>
              <w:pStyle w:val="Compact"/>
              <w:jc w:val="left"/>
            </w:pPr>
            <w:r>
              <w:t xml:space="preserve">IACUC approval; clinic partnerships secured; survey design finalized</w:t>
            </w:r>
          </w:p>
        </w:tc>
      </w:tr>
      <w:tr>
        <w:tc>
          <w:tcPr/>
          <w:p>
            <w:pPr>
              <w:pStyle w:val="Compact"/>
              <w:jc w:val="left"/>
            </w:pPr>
            <w:r>
              <w:t xml:space="preserve">Data Collection (Quantitative)</w:t>
            </w:r>
          </w:p>
        </w:tc>
        <w:tc>
          <w:tcPr/>
          <w:p>
            <w:pPr>
              <w:pStyle w:val="Compact"/>
              <w:jc w:val="left"/>
            </w:pPr>
            <w:r>
              <w:t xml:space="preserve">3-4</w:t>
            </w:r>
          </w:p>
        </w:tc>
        <w:tc>
          <w:tcPr/>
          <w:p>
            <w:pPr>
              <w:pStyle w:val="Compact"/>
              <w:jc w:val="left"/>
            </w:pPr>
            <w:r>
              <w:t xml:space="preserve">1,200 patient surveys completed; clinic dataset compiled</w:t>
            </w:r>
          </w:p>
        </w:tc>
      </w:tr>
      <w:tr>
        <w:tc>
          <w:tcPr/>
          <w:p>
            <w:pPr>
              <w:pStyle w:val="Compact"/>
              <w:jc w:val="left"/>
            </w:pPr>
            <w:r>
              <w:t xml:space="preserve">Data Collection (Qualitative)</w:t>
            </w:r>
          </w:p>
        </w:tc>
        <w:tc>
          <w:tcPr/>
          <w:p>
            <w:pPr>
              <w:pStyle w:val="Compact"/>
              <w:jc w:val="left"/>
            </w:pPr>
            <w:r>
              <w:t xml:space="preserve">5-840 practitioner interviews; 8 focus groups conducted</w:t>
            </w:r>
          </w:p>
        </w:tc>
        <w:tc>
          <w:tcPr/>
          <w:p>
            <w:pPr>
              <w:pStyle w:val="Compact"/>
            </w:pPr>
          </w:p>
        </w:tc>
      </w:tr>
      <w:tr>
        <w:tc>
          <w:tcPr/>
          <w:p>
            <w:pPr>
              <w:pStyle w:val="Compact"/>
              <w:jc w:val="left"/>
            </w:pPr>
            <w:r>
              <w:t xml:space="preserve">Analysis &amp; Framework Development</w:t>
            </w:r>
          </w:p>
        </w:tc>
        <w:tc>
          <w:tcPr/>
          <w:p>
            <w:pPr>
              <w:pStyle w:val="Compact"/>
              <w:jc w:val="left"/>
            </w:pPr>
            <w:r>
              <w:t xml:space="preserve">9-10</w:t>
            </w:r>
          </w:p>
        </w:tc>
        <w:tc>
          <w:tcPr/>
          <w:p>
            <w:pPr>
              <w:pStyle w:val="Compact"/>
              <w:jc w:val="left"/>
            </w:pPr>
            <w:r>
              <w:t xml:space="preserve">Digital accessibility map; statistical analysis report</w:t>
            </w:r>
          </w:p>
        </w:tc>
      </w:tr>
      <w:tr>
        <w:tc>
          <w:tcPr/>
          <w:p>
            <w:pPr>
              <w:pStyle w:val="Compact"/>
              <w:jc w:val="left"/>
            </w:pPr>
            <w:r>
              <w:t xml:space="preserve">Stakeholder Engagement &amp; Final Report</w:t>
            </w:r>
          </w:p>
        </w:tc>
        <w:tc>
          <w:tcPr/>
          <w:p>
            <w:pPr>
              <w:pStyle w:val="Compact"/>
              <w:jc w:val="left"/>
            </w:pPr>
            <w:r>
              <w:t xml:space="preserve">11-12</w:t>
            </w:r>
          </w:p>
        </w:tc>
        <w:tc>
          <w:tcPr/>
          <w:p>
            <w:pPr>
              <w:pStyle w:val="Compact"/>
              <w:jc w:val="left"/>
            </w:pPr>
            <w:r>
              <w:t xml:space="preserve">Policy brief delivered to Guangzhou Health Bureau; framework published in Chinese Dental Journal</w:t>
            </w:r>
          </w:p>
        </w:tc>
      </w:tr>
    </w:tbl>
    <w:bookmarkEnd w:id="28"/>
    <w:bookmarkStart w:id="29" w:name="conclusion"/>
    <w:p>
      <w:pPr>
        <w:pStyle w:val="Heading2"/>
      </w:pPr>
      <w:r>
        <w:t xml:space="preserve">7. Conclusion</w:t>
      </w:r>
    </w:p>
    <w:p>
      <w:pPr>
        <w:pStyle w:val="FirstParagraph"/>
      </w:pPr>
      <w:r>
        <w:t xml:space="preserve">This research directly responds to the urgent healthcare needs of Guangzhou's population through a rigorous, city-specific investigation into orthodontic accessibility. As China's second-largest city by economic output and a key node in the Belt and Road Initiative, Guangzhou serves as an ideal laboratory for testing solutions that balance modernization with cultural context – crucial for scaling to other Chinese megacities. By centering the</w:t>
      </w:r>
      <w:r>
        <w:t xml:space="preserve"> </w:t>
      </w:r>
      <w:r>
        <w:rPr>
          <w:bCs/>
          <w:b/>
        </w:rPr>
        <w:t xml:space="preserve">Orthodontist</w:t>
      </w:r>
      <w:r>
        <w:t xml:space="preserve"> </w:t>
      </w:r>
      <w:r>
        <w:t xml:space="preserve">profession within Guangzhou's healthcare ecosystem, this study transcends mere clinical research: it lays groundwork for a sustainable model where quality orthodontic care becomes an accessible public health asset rather than a luxury commodity. The findings will empower Guangzhou authorities to allocate resources strategically, reduce health inequities, and position</w:t>
      </w:r>
      <w:r>
        <w:t xml:space="preserve"> </w:t>
      </w:r>
      <w:r>
        <w:rPr>
          <w:bCs/>
          <w:b/>
        </w:rPr>
        <w:t xml:space="preserve">China Guangzhou</w:t>
      </w:r>
      <w:r>
        <w:t xml:space="preserve"> </w:t>
      </w:r>
      <w:r>
        <w:t xml:space="preserve">as a regional benchmark for innovative dental healthcare delivery. Ultimately, this</w:t>
      </w:r>
      <w:r>
        <w:t xml:space="preserve"> </w:t>
      </w:r>
      <w:r>
        <w:rPr>
          <w:bCs/>
          <w:b/>
        </w:rPr>
        <w:t xml:space="preserve">Research Proposal</w:t>
      </w:r>
      <w:r>
        <w:t xml:space="preserve"> </w:t>
      </w:r>
      <w:r>
        <w:t xml:space="preserve">promises not just data, but actionable pathways toward healthier smiles for millions of Guangzhou residents.</w:t>
      </w:r>
    </w:p>
    <w:bookmarkEnd w:id="29"/>
    <w:p>
      <w:pPr>
        <w:pStyle w:val="BodyText"/>
      </w:pPr>
      <w:r>
        <w:t xml:space="preserve">Research Proposal by Guangzhou Urban Health Institute | Word Count: 856</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Orthodontic Care in China Guangzhou</dc:title>
  <dc:creator/>
  <dc:language>en</dc:language>
  <cp:keywords/>
  <dcterms:created xsi:type="dcterms:W3CDTF">2026-07-21T14:11:11Z</dcterms:created>
  <dcterms:modified xsi:type="dcterms:W3CDTF">2026-07-21T14:11:11Z</dcterms:modified>
</cp:coreProperties>
</file>

<file path=docProps/custom.xml><?xml version="1.0" encoding="utf-8"?>
<Properties xmlns="http://schemas.openxmlformats.org/officeDocument/2006/custom-properties" xmlns:vt="http://schemas.openxmlformats.org/officeDocument/2006/docPropsVTypes"/>
</file>