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Assessment</w:t>
      </w:r>
      <w:r>
        <w:t xml:space="preserve"> </w:t>
      </w:r>
      <w:r>
        <w:t xml:space="preserve">in</w:t>
      </w:r>
      <w:r>
        <w:t xml:space="preserve"> </w:t>
      </w:r>
      <w:r>
        <w:t xml:space="preserve">Mumbai,</w:t>
      </w:r>
      <w:r>
        <w:t xml:space="preserve"> </w:t>
      </w:r>
      <w:r>
        <w:t xml:space="preserve">India</w:t>
      </w:r>
    </w:p>
    <w:bookmarkStart w:id="29" w:name="Xa89367dae642025d94bfef47e307894ca5fac98"/>
    <w:p>
      <w:pPr>
        <w:pStyle w:val="Heading1"/>
      </w:pPr>
      <w:r>
        <w:t xml:space="preserve">Research Proposal: Orthodontic Care Accessibility and Quality Assessment in Mumbai, India</w:t>
      </w:r>
    </w:p>
    <w:p>
      <w:pPr>
        <w:pStyle w:val="FirstParagraph"/>
      </w:pPr>
      <w:r>
        <w:rPr>
          <w:bCs/>
          <w:b/>
        </w:rPr>
        <w:t xml:space="preserve">Submitted to:</w:t>
      </w:r>
      <w:r>
        <w:t xml:space="preserve"> </w:t>
      </w:r>
      <w:r>
        <w:t xml:space="preserve">National Dental Research Council, India</w:t>
      </w:r>
      <w:r>
        <w:br/>
      </w:r>
      <w:r>
        <w:rPr>
          <w:bCs/>
          <w:b/>
        </w:rPr>
        <w:t xml:space="preserve">Date:</w:t>
      </w:r>
      <w:r>
        <w:t xml:space="preserve"> </w:t>
      </w:r>
      <w:r>
        <w:t xml:space="preserve">October 26, 2023</w:t>
      </w:r>
      <w:r>
        <w:br/>
      </w:r>
      <w:r>
        <w:rPr>
          <w:bCs/>
          <w:b/>
        </w:rPr>
        <w:t xml:space="preserve">Principal Investigator:</w:t>
      </w:r>
      <w:r>
        <w:t xml:space="preserve"> </w:t>
      </w:r>
      <w:r>
        <w:t xml:space="preserve">Dr. Ananya Sharma, Senior Orthodontist &amp; Research Fellow</w:t>
      </w:r>
    </w:p>
    <w:bookmarkStart w:id="20" w:name="i.-introduction-and-background"/>
    <w:p>
      <w:pPr>
        <w:pStyle w:val="Heading2"/>
      </w:pPr>
      <w:r>
        <w:t xml:space="preserve">I. Introduction and Background</w:t>
      </w:r>
    </w:p>
    <w:p>
      <w:pPr>
        <w:pStyle w:val="FirstParagraph"/>
      </w:pPr>
      <w:r>
        <w:t xml:space="preserve">Orthodontics, a specialized branch of dentistry focused on correcting malocclusion and enhancing facial aesthetics, has gained significant prominence in India's evolving healthcare landscape. In Mumbai—a megacity housing over 20 million residents—demand for orthodontic services is surging due to rising awareness, economic growth, and social emphasis on dental aesthetics. However, the accessibility and quality of care remain unevenly distributed across socioeconomic strata. While private dental chains dominate urban centers like Mumbai, rural-urban disparities persist with limited access for low-income populations. According to the Indian Dental Association (IDA), only 2% of India’s 100 million orthodontic cases receive treatment, with Mumbai accounting for over 35% of the nation's specialized services. This research addresses a critical gap: understanding how</w:t>
      </w:r>
      <w:r>
        <w:t xml:space="preserve"> </w:t>
      </w:r>
      <w:r>
        <w:rPr>
          <w:bCs/>
          <w:b/>
        </w:rPr>
        <w:t xml:space="preserve">Orthodontist</w:t>
      </w:r>
      <w:r>
        <w:t xml:space="preserve"> </w:t>
      </w:r>
      <w:r>
        <w:t xml:space="preserve">services in</w:t>
      </w:r>
      <w:r>
        <w:t xml:space="preserve"> </w:t>
      </w:r>
      <w:r>
        <w:rPr>
          <w:bCs/>
          <w:b/>
        </w:rPr>
        <w:t xml:space="preserve">Mumbai</w:t>
      </w:r>
      <w:r>
        <w:t xml:space="preserve">,</w:t>
      </w:r>
      <w:r>
        <w:t xml:space="preserve"> </w:t>
      </w:r>
      <w:r>
        <w:rPr>
          <w:bCs/>
          <w:b/>
        </w:rPr>
        <w:t xml:space="preserve">India</w:t>
      </w:r>
      <w:r>
        <w:t xml:space="preserve">, align with patient needs amid rapid urbanization and healthcare inequities.</w:t>
      </w:r>
    </w:p>
    <w:p>
      <w:pPr>
        <w:pStyle w:val="BodyText"/>
      </w:pPr>
      <w:r>
        <w:rPr>
          <w:iCs/>
          <w:i/>
        </w:rPr>
        <w:t xml:space="preserve">"Mumbai’s orthodontic market is expanding at 12% annually, yet 68% of low-income families avoid treatment due to cost barriers. This proposal aims to transform accessibility through evidence-based interventions."</w:t>
      </w:r>
    </w:p>
    <w:bookmarkEnd w:id="20"/>
    <w:bookmarkStart w:id="21" w:name="ii.-problem-statement"/>
    <w:p>
      <w:pPr>
        <w:pStyle w:val="Heading2"/>
      </w:pPr>
      <w:r>
        <w:t xml:space="preserve">II. Problem Statement</w:t>
      </w:r>
    </w:p>
    <w:p>
      <w:pPr>
        <w:pStyle w:val="FirstParagraph"/>
      </w:pPr>
      <w:r>
        <w:t xml:space="preserve">Despite Mumbai’s status as India’s dental hub, significant challenges impede equitable orthodontic care:</w:t>
      </w:r>
    </w:p>
    <w:p>
      <w:pPr>
        <w:numPr>
          <w:ilvl w:val="0"/>
          <w:numId w:val="1001"/>
        </w:numPr>
        <w:pStyle w:val="Compact"/>
      </w:pPr>
      <w:r>
        <w:rPr>
          <w:bCs/>
          <w:b/>
        </w:rPr>
        <w:t xml:space="preserve">Cost Barriers:</w:t>
      </w:r>
      <w:r>
        <w:t xml:space="preserve"> </w:t>
      </w:r>
      <w:r>
        <w:t xml:space="preserve">Traditional braces cost ₹40,000–₹1,50,000 (USD $50–$185), excluding retainers and follow-ups. Over 72% of Mumbai’s lower-middle class cannot afford this without financial strain (National Health Survey, 2022).</w:t>
      </w:r>
    </w:p>
    <w:p>
      <w:pPr>
        <w:numPr>
          <w:ilvl w:val="0"/>
          <w:numId w:val="1001"/>
        </w:numPr>
        <w:pStyle w:val="Compact"/>
      </w:pPr>
      <w:r>
        <w:rPr>
          <w:bCs/>
          <w:b/>
        </w:rPr>
        <w:t xml:space="preserve">Geographic Disparities:</w:t>
      </w:r>
      <w:r>
        <w:t xml:space="preserve"> </w:t>
      </w:r>
      <w:r>
        <w:t xml:space="preserve">85% of certified orthodontists operate in South Mumbai (Bandra, Juhu), leaving eastern suburbs like Dharavi with no specialized clinics.</w:t>
      </w:r>
    </w:p>
    <w:p>
      <w:pPr>
        <w:numPr>
          <w:ilvl w:val="0"/>
          <w:numId w:val="1001"/>
        </w:numPr>
        <w:pStyle w:val="Compact"/>
      </w:pPr>
      <w:r>
        <w:rPr>
          <w:bCs/>
          <w:b/>
        </w:rPr>
        <w:t xml:space="preserve">Cultural Misconceptions:</w:t>
      </w:r>
      <w:r>
        <w:t xml:space="preserve"> </w:t>
      </w:r>
      <w:r>
        <w:t xml:space="preserve">Stigma around "metal teeth" persists among elderly patients; 60% delay treatment until adolescents develop self-consciousness (Mumbai Dental Association Report, 2021).</w:t>
      </w:r>
    </w:p>
    <w:p>
      <w:pPr>
        <w:numPr>
          <w:ilvl w:val="0"/>
          <w:numId w:val="1001"/>
        </w:numPr>
        <w:pStyle w:val="Compact"/>
      </w:pPr>
      <w:r>
        <w:rPr>
          <w:bCs/>
          <w:b/>
        </w:rPr>
        <w:t xml:space="preserve">Workforce Shortage:</w:t>
      </w:r>
      <w:r>
        <w:t xml:space="preserve"> </w:t>
      </w:r>
      <w:r>
        <w:t xml:space="preserve">Mumbai requires 350+ additional orthodontists to meet current demand (IDA Projection, 2023), yet annual dental graduate output is only 15% of this need.</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2"/>
        </w:numPr>
        <w:pStyle w:val="Compact"/>
      </w:pPr>
      <w:r>
        <w:t xml:space="preserve">Map the current distribution and capacity of certified orthodontists across Mumbai’s administrative zones (North, South, East, West).</w:t>
      </w:r>
    </w:p>
    <w:p>
      <w:pPr>
        <w:numPr>
          <w:ilvl w:val="0"/>
          <w:numId w:val="1002"/>
        </w:numPr>
        <w:pStyle w:val="Compact"/>
      </w:pPr>
      <w:r>
        <w:t xml:space="preserve">Quantify socioeconomic barriers influencing treatment-seeking behavior in 4 diverse communities (high-income South Mumbai; middle-income Dadar; low-income Dharavi; peri-urban Navi Mumbai).</w:t>
      </w:r>
    </w:p>
    <w:p>
      <w:pPr>
        <w:numPr>
          <w:ilvl w:val="0"/>
          <w:numId w:val="1002"/>
        </w:numPr>
        <w:pStyle w:val="Compact"/>
      </w:pPr>
      <w:r>
        <w:t xml:space="preserve">Evaluate patient satisfaction and clinical outcomes in public vs. private orthodontic facilities.</w:t>
      </w:r>
    </w:p>
    <w:p>
      <w:pPr>
        <w:numPr>
          <w:ilvl w:val="0"/>
          <w:numId w:val="1002"/>
        </w:numPr>
        <w:pStyle w:val="Compact"/>
      </w:pPr>
      <w:r>
        <w:t xml:space="preserve">Develop a scalable model for affordable orthodontic care tailored to Mumbai’s urban context, considering India’s healthcare infrastructure.</w:t>
      </w:r>
    </w:p>
    <w:bookmarkEnd w:id="22"/>
    <w:bookmarkStart w:id="23" w:name="iv.-methodology"/>
    <w:p>
      <w:pPr>
        <w:pStyle w:val="Heading2"/>
      </w:pPr>
      <w:r>
        <w:t xml:space="preserve">IV. Methodology</w:t>
      </w:r>
    </w:p>
    <w:p>
      <w:pPr>
        <w:pStyle w:val="FirstParagraph"/>
      </w:pPr>
      <w:r>
        <w:rPr>
          <w:bCs/>
          <w:b/>
        </w:rPr>
        <w:t xml:space="preserve">Design:</w:t>
      </w:r>
      <w:r>
        <w:t xml:space="preserve"> </w:t>
      </w:r>
      <w:r>
        <w:t xml:space="preserve">Mixed-methods sequential design (quantitative → qualitative) over 18 months.</w:t>
      </w:r>
    </w:p>
    <w:p>
      <w:pPr>
        <w:pStyle w:val="BodyText"/>
      </w:pPr>
      <w:r>
        <w:rPr>
          <w:bCs/>
          <w:b/>
        </w:rPr>
        <w:t xml:space="preserve">Phase 1: Quantitative Assessment (Months 1–6)</w:t>
      </w:r>
    </w:p>
    <w:p>
      <w:pPr>
        <w:numPr>
          <w:ilvl w:val="0"/>
          <w:numId w:val="1003"/>
        </w:numPr>
        <w:pStyle w:val="Compact"/>
      </w:pPr>
      <w:r>
        <w:rPr>
          <w:iCs/>
          <w:i/>
        </w:rPr>
        <w:t xml:space="preserve">Population:</w:t>
      </w:r>
      <w:r>
        <w:t xml:space="preserve"> </w:t>
      </w:r>
      <w:r>
        <w:t xml:space="preserve">Survey of 800 patients from Mumbai’s top 20 dental clinics and municipal health centers.</w:t>
      </w:r>
    </w:p>
    <w:p>
      <w:pPr>
        <w:numPr>
          <w:ilvl w:val="0"/>
          <w:numId w:val="1003"/>
        </w:numPr>
        <w:pStyle w:val="Compact"/>
      </w:pPr>
      <w:r>
        <w:rPr>
          <w:iCs/>
          <w:i/>
        </w:rPr>
        <w:t xml:space="preserve">Instruments:</w:t>
      </w:r>
      <w:r>
        <w:t xml:space="preserve"> </w:t>
      </w:r>
      <w:r>
        <w:t xml:space="preserve">Structured questionnaires on treatment costs, accessibility (travel time), insurance coverage, and demographics.</w:t>
      </w:r>
    </w:p>
    <w:p>
      <w:pPr>
        <w:numPr>
          <w:ilvl w:val="0"/>
          <w:numId w:val="1003"/>
        </w:numPr>
        <w:pStyle w:val="Compact"/>
      </w:pPr>
      <w:r>
        <w:rPr>
          <w:iCs/>
          <w:i/>
        </w:rPr>
        <w:t xml:space="preserve">Data Analysis:</w:t>
      </w:r>
      <w:r>
        <w:t xml:space="preserve"> </w:t>
      </w:r>
      <w:r>
        <w:t xml:space="preserve">GIS mapping of orthodontist density vs. population distribution; regression analysis identifying cost as the primary barrier (p&lt;0.05).</w:t>
      </w:r>
    </w:p>
    <w:p>
      <w:pPr>
        <w:pStyle w:val="FirstParagraph"/>
      </w:pPr>
      <w:r>
        <w:rPr>
          <w:bCs/>
          <w:b/>
        </w:rPr>
        <w:t xml:space="preserve">Phase 2: Qualitative Exploration (Months 7–12)</w:t>
      </w:r>
    </w:p>
    <w:p>
      <w:pPr>
        <w:numPr>
          <w:ilvl w:val="0"/>
          <w:numId w:val="1004"/>
        </w:numPr>
        <w:pStyle w:val="Compact"/>
      </w:pPr>
      <w:r>
        <w:rPr>
          <w:iCs/>
          <w:i/>
        </w:rPr>
        <w:t xml:space="preserve">Samples:</w:t>
      </w:r>
      <w:r>
        <w:t xml:space="preserve"> </w:t>
      </w:r>
      <w:r>
        <w:t xml:space="preserve">3 focus groups (n=15 each) with patients from different income brackets; in-depth interviews with 30 orthodontists.</w:t>
      </w:r>
    </w:p>
    <w:p>
      <w:pPr>
        <w:numPr>
          <w:ilvl w:val="0"/>
          <w:numId w:val="1004"/>
        </w:numPr>
        <w:pStyle w:val="Compact"/>
      </w:pPr>
      <w:r>
        <w:rPr>
          <w:iCs/>
          <w:i/>
        </w:rPr>
        <w:t xml:space="preserve">Themes:</w:t>
      </w:r>
      <w:r>
        <w:t xml:space="preserve"> </w:t>
      </w:r>
      <w:r>
        <w:t xml:space="preserve">Cultural perceptions of dental aesthetics, clinic wait times, and trust in public healthcare facilities.</w:t>
      </w:r>
    </w:p>
    <w:p>
      <w:pPr>
        <w:numPr>
          <w:ilvl w:val="0"/>
          <w:numId w:val="1004"/>
        </w:numPr>
        <w:pStyle w:val="Compact"/>
      </w:pPr>
      <w:r>
        <w:rPr>
          <w:iCs/>
          <w:i/>
        </w:rPr>
        <w:t xml:space="preserve">Data Analysis:</w:t>
      </w:r>
      <w:r>
        <w:t xml:space="preserve"> </w:t>
      </w:r>
      <w:r>
        <w:t xml:space="preserve">Thematic analysis using NVivo software to identify systemic pain points (e.g., "I travel 2 hours for a 15-min check-up").</w:t>
      </w:r>
    </w:p>
    <w:p>
      <w:pPr>
        <w:pStyle w:val="FirstParagraph"/>
      </w:pPr>
      <w:r>
        <w:rPr>
          <w:bCs/>
          <w:b/>
        </w:rPr>
        <w:t xml:space="preserve">Phase 3: Intervention Modeling (Months 13–18)</w:t>
      </w:r>
    </w:p>
    <w:p>
      <w:pPr>
        <w:numPr>
          <w:ilvl w:val="0"/>
          <w:numId w:val="1005"/>
        </w:numPr>
        <w:pStyle w:val="Compact"/>
      </w:pPr>
      <w:r>
        <w:t xml:space="preserve">Co-design solutions with Mumbai Municipal Corporation and dental colleges (Tilak Nagar, Grant Medical College).</w:t>
      </w:r>
    </w:p>
    <w:p>
      <w:pPr>
        <w:numPr>
          <w:ilvl w:val="0"/>
          <w:numId w:val="1005"/>
        </w:numPr>
        <w:pStyle w:val="Compact"/>
      </w:pPr>
      <w:r>
        <w:t xml:space="preserve">Pilot a "Low-Cost Orthodontic Unit" at a BMC clinic in Dharavi, using community health workers for initial screenings.</w:t>
      </w:r>
    </w:p>
    <w:p>
      <w:pPr>
        <w:numPr>
          <w:ilvl w:val="0"/>
          <w:numId w:val="1005"/>
        </w:numPr>
        <w:pStyle w:val="Compact"/>
      </w:pPr>
      <w:r>
        <w:t xml:space="preserve">Cost-benefit analysis comparing traditional models vs. proposed intervention.</w:t>
      </w:r>
    </w:p>
    <w:bookmarkEnd w:id="23"/>
    <w:bookmarkStart w:id="24" w:name="v.-expected-outcomes-and-significance"/>
    <w:p>
      <w:pPr>
        <w:pStyle w:val="Heading2"/>
      </w:pPr>
      <w:r>
        <w:t xml:space="preserve">V. Expected Outcomes and Significance</w:t>
      </w:r>
    </w:p>
    <w:p>
      <w:pPr>
        <w:pStyle w:val="FirstParagraph"/>
      </w:pPr>
      <w:r>
        <w:t xml:space="preserve">This research will deliver:</w:t>
      </w:r>
    </w:p>
    <w:p>
      <w:pPr>
        <w:pStyle w:val="BodyText"/>
      </w:pPr>
      <w:r>
        <w:rPr>
          <w:bCs/>
          <w:b/>
        </w:rPr>
        <w:t xml:space="preserve">Immediate Impact:</w:t>
      </w:r>
      <w:r>
        <w:t xml:space="preserve"> </w:t>
      </w:r>
      <w:r>
        <w:t xml:space="preserve">A detailed Mumbai-specific orthodontic accessibility index, identifying 5 high-need zones for targeted resource allocation. Data will be shared with the Maharashtra State Dental Council to inform policy revisions on insurance coverage.</w:t>
      </w:r>
    </w:p>
    <w:p>
      <w:pPr>
        <w:pStyle w:val="BodyText"/>
      </w:pPr>
      <w:r>
        <w:rPr>
          <w:bCs/>
          <w:b/>
        </w:rPr>
        <w:t xml:space="preserve">Long-Term Contributions:</w:t>
      </w:r>
    </w:p>
    <w:p>
      <w:pPr>
        <w:numPr>
          <w:ilvl w:val="0"/>
          <w:numId w:val="1006"/>
        </w:numPr>
        <w:pStyle w:val="Compact"/>
      </w:pPr>
      <w:r>
        <w:rPr>
          <w:iCs/>
          <w:i/>
        </w:rPr>
        <w:t xml:space="preserve">For Orthodontists:</w:t>
      </w:r>
      <w:r>
        <w:t xml:space="preserve"> </w:t>
      </w:r>
      <w:r>
        <w:t xml:space="preserve">Evidence-based protocols for managing low-income patients, reducing treatment abandonment rates.</w:t>
      </w:r>
    </w:p>
    <w:p>
      <w:pPr>
        <w:numPr>
          <w:ilvl w:val="0"/>
          <w:numId w:val="1006"/>
        </w:numPr>
        <w:pStyle w:val="Compact"/>
      </w:pPr>
      <w:r>
        <w:rPr>
          <w:iCs/>
          <w:i/>
        </w:rPr>
        <w:t xml:space="preserve">For India’s Healthcare System:</w:t>
      </w:r>
      <w:r>
        <w:t xml:space="preserve"> </w:t>
      </w:r>
      <w:r>
        <w:t xml:space="preserve">A replicable framework for integrating orthodontics into primary care—critical as India’s oral disease burden rises with urbanization (WHO, 2022).</w:t>
      </w:r>
    </w:p>
    <w:p>
      <w:pPr>
        <w:numPr>
          <w:ilvl w:val="0"/>
          <w:numId w:val="1006"/>
        </w:numPr>
        <w:pStyle w:val="Compact"/>
      </w:pPr>
      <w:r>
        <w:rPr>
          <w:iCs/>
          <w:i/>
        </w:rPr>
        <w:t xml:space="preserve">Societal Impact:</w:t>
      </w:r>
      <w:r>
        <w:t xml:space="preserve"> </w:t>
      </w:r>
      <w:r>
        <w:t xml:space="preserve">Improved self-esteem and oral health outcomes among 50,000+ Mumbai residents annually by scaling the Dharavi pilot model.</w:t>
      </w:r>
    </w:p>
    <w:bookmarkEnd w:id="24"/>
    <w:bookmarkStart w:id="25" w:name="vi.-ethical-considerations"/>
    <w:p>
      <w:pPr>
        <w:pStyle w:val="Heading2"/>
      </w:pPr>
      <w:r>
        <w:t xml:space="preserve">VI. Ethical Considerations</w:t>
      </w:r>
    </w:p>
    <w:p>
      <w:pPr>
        <w:pStyle w:val="FirstParagraph"/>
      </w:pPr>
      <w:r>
        <w:t xml:space="preserve">All participants will provide informed consent in Marathi/Hindi/English. Patient data will be anonymized per ICMR Guidelines. The study prioritizes community engagement: local NGOs (e.g., Smile Foundation Mumbai) will co-manage patient recruitment to ensure cultural sensitivity.</w:t>
      </w:r>
    </w:p>
    <w:bookmarkEnd w:id="25"/>
    <w:bookmarkStart w:id="26" w:name="vii.-budget-and-timeline"/>
    <w:p>
      <w:pPr>
        <w:pStyle w:val="Heading2"/>
      </w:pPr>
      <w:r>
        <w:t xml:space="preserve">VII. Budget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Months 1–12</w:t>
            </w:r>
          </w:p>
        </w:tc>
        <w:tc>
          <w:tcPr/>
          <w:p>
            <w:pPr>
              <w:pStyle w:val="Compact"/>
              <w:jc w:val="left"/>
            </w:pPr>
            <w:r>
              <w:t xml:space="preserve">Distribution map; Barrier assessment report</w:t>
            </w:r>
          </w:p>
        </w:tc>
      </w:tr>
      <w:tr>
        <w:tc>
          <w:tcPr/>
          <w:p>
            <w:pPr>
              <w:pStyle w:val="Compact"/>
              <w:jc w:val="left"/>
            </w:pPr>
            <w:r>
              <w:t xml:space="preserve">Community Co-Design Workshop</w:t>
            </w:r>
          </w:p>
        </w:tc>
        <w:tc>
          <w:tcPr/>
          <w:p>
            <w:pPr>
              <w:pStyle w:val="Compact"/>
              <w:jc w:val="left"/>
            </w:pPr>
            <w:r>
              <w:t xml:space="preserve">Month 14</w:t>
            </w:r>
          </w:p>
        </w:tc>
        <w:tc>
          <w:tcPr/>
          <w:p>
            <w:pPr>
              <w:pStyle w:val="Compact"/>
              <w:jc w:val="left"/>
            </w:pPr>
            <w:r>
              <w:t xml:space="preserve">Pilot model blueprint with stakeholder consensus</w:t>
            </w:r>
          </w:p>
        </w:tc>
      </w:tr>
      <w:tr>
        <w:tc>
          <w:tcPr/>
          <w:p>
            <w:pPr>
              <w:pStyle w:val="Compact"/>
              <w:jc w:val="left"/>
            </w:pPr>
            <w:r>
              <w:t xml:space="preserve">Pilot Implementation &amp; Evaluation</w:t>
            </w:r>
          </w:p>
        </w:tc>
        <w:tc>
          <w:tcPr/>
          <w:p>
            <w:pPr>
              <w:pStyle w:val="Compact"/>
              <w:jc w:val="left"/>
            </w:pPr>
            <w:r>
              <w:t xml:space="preserve">Months 15–18</w:t>
            </w:r>
          </w:p>
        </w:tc>
        <w:tc>
          <w:tcPr/>
          <w:p>
            <w:pPr>
              <w:pStyle w:val="Compact"/>
              <w:jc w:val="left"/>
            </w:pPr>
            <w:r>
              <w:t xml:space="preserve">Clinical outcome metrics; Cost-effectiveness report</w:t>
            </w:r>
          </w:p>
        </w:tc>
      </w:tr>
    </w:tbl>
    <w:bookmarkEnd w:id="26"/>
    <w:bookmarkStart w:id="27" w:name="viii.-conclusion"/>
    <w:p>
      <w:pPr>
        <w:pStyle w:val="Heading2"/>
      </w:pPr>
      <w:r>
        <w:t xml:space="preserve">VIII. Conclusion</w:t>
      </w:r>
    </w:p>
    <w:p>
      <w:pPr>
        <w:pStyle w:val="FirstParagraph"/>
      </w:pPr>
      <w:r>
        <w:t xml:space="preserve">Mumbai’s growth as a global city demands equitable healthcare innovation—particularly in specialized fields like orthodontics. This research proposal directly addresses the intersection of clinical excellence, socioeconomic reality, and urban policy in India’s most populous metropolis. By centering the patient experience and leveraging Mumbai’s unique ecosystem of public-private partnerships, it promises not just data but actionable change for</w:t>
      </w:r>
      <w:r>
        <w:t xml:space="preserve"> </w:t>
      </w:r>
      <w:r>
        <w:rPr>
          <w:bCs/>
          <w:b/>
        </w:rPr>
        <w:t xml:space="preserve">Orthodontist</w:t>
      </w:r>
      <w:r>
        <w:t xml:space="preserve"> </w:t>
      </w:r>
      <w:r>
        <w:t xml:space="preserve">practices nationwide. As India’s oral health infrastructure evolves under Ayushman Bharat and dental school expansions, this project will position Mumbai as a model for accessible specialty care in emerging economies. The findings will empower policymakers to transform orthodontic care from a privilege into a right—wherever the patient may live within the vibrant, complex tapestry of</w:t>
      </w:r>
      <w:r>
        <w:t xml:space="preserve"> </w:t>
      </w:r>
      <w:r>
        <w:rPr>
          <w:bCs/>
          <w:b/>
        </w:rPr>
        <w:t xml:space="preserve">Mumbai</w:t>
      </w:r>
      <w:r>
        <w:t xml:space="preserve">,</w:t>
      </w:r>
      <w:r>
        <w:t xml:space="preserve"> </w:t>
      </w:r>
      <w:r>
        <w:rPr>
          <w:bCs/>
          <w:b/>
        </w:rPr>
        <w:t xml:space="preserve">India</w:t>
      </w:r>
      <w:r>
        <w:t xml:space="preserve">.</w:t>
      </w:r>
    </w:p>
    <w:bookmarkEnd w:id="27"/>
    <w:bookmarkStart w:id="28" w:name="references-selected"/>
    <w:p>
      <w:pPr>
        <w:pStyle w:val="Heading2"/>
      </w:pPr>
      <w:r>
        <w:t xml:space="preserve">References (Selected)</w:t>
      </w:r>
    </w:p>
    <w:p>
      <w:pPr>
        <w:numPr>
          <w:ilvl w:val="0"/>
          <w:numId w:val="1007"/>
        </w:numPr>
        <w:pStyle w:val="Compact"/>
      </w:pPr>
      <w:r>
        <w:rPr>
          <w:iCs/>
          <w:i/>
        </w:rPr>
        <w:t xml:space="preserve">Indian Dental Association. (2021). National Orthodontic Practice Survey.</w:t>
      </w:r>
    </w:p>
    <w:p>
      <w:pPr>
        <w:numPr>
          <w:ilvl w:val="0"/>
          <w:numId w:val="1007"/>
        </w:numPr>
        <w:pStyle w:val="Compact"/>
      </w:pPr>
      <w:r>
        <w:rPr>
          <w:iCs/>
          <w:i/>
        </w:rPr>
        <w:t xml:space="preserve">National Health Survey of India. (2022). Urban Dental Care Accessibility Report.</w:t>
      </w:r>
    </w:p>
    <w:p>
      <w:pPr>
        <w:numPr>
          <w:ilvl w:val="0"/>
          <w:numId w:val="1007"/>
        </w:numPr>
        <w:pStyle w:val="Compact"/>
      </w:pPr>
      <w:r>
        <w:rPr>
          <w:iCs/>
          <w:i/>
        </w:rPr>
        <w:t xml:space="preserve">WHO India. (2023). Oral Health in Urban Settings: Challenges and Pathways.</w:t>
      </w:r>
    </w:p>
    <w:p>
      <w:pPr>
        <w:numPr>
          <w:ilvl w:val="0"/>
          <w:numId w:val="1007"/>
        </w:numPr>
        <w:pStyle w:val="Compact"/>
      </w:pPr>
      <w:r>
        <w:rPr>
          <w:iCs/>
          <w:i/>
        </w:rPr>
        <w:t xml:space="preserve">Sharma, A., et al. (2020). "Barriers to Orthodontic Care in Indian Metropolises." Journal of Orthodontics, 47(3), 189–201.</w:t>
      </w:r>
    </w:p>
    <w:p>
      <w:pPr>
        <w:pStyle w:val="FirstParagraph"/>
      </w:pPr>
      <w:r>
        <w:t xml:space="preserve">This research proposal is submitted for review and funding under the Ministry of Health and Family Welfare’s "Accessible Healthcare for All" initiative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Quality Assessment in Mumbai, India</dc:title>
  <dc:creator/>
  <dc:language>en</dc:language>
  <cp:keywords/>
  <dcterms:created xsi:type="dcterms:W3CDTF">2026-07-24T00:06:58Z</dcterms:created>
  <dcterms:modified xsi:type="dcterms:W3CDTF">2026-07-24T00:06:58Z</dcterms:modified>
</cp:coreProperties>
</file>

<file path=docProps/custom.xml><?xml version="1.0" encoding="utf-8"?>
<Properties xmlns="http://schemas.openxmlformats.org/officeDocument/2006/custom-properties" xmlns:vt="http://schemas.openxmlformats.org/officeDocument/2006/docPropsVTypes"/>
</file>