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Outcomes</w:t>
      </w:r>
      <w:r>
        <w:t xml:space="preserve"> </w:t>
      </w:r>
      <w:r>
        <w:t xml:space="preserve">in</w:t>
      </w:r>
      <w:r>
        <w:t xml:space="preserve"> </w:t>
      </w:r>
      <w:r>
        <w:t xml:space="preserve">Tel</w:t>
      </w:r>
      <w:r>
        <w:t xml:space="preserve"> </w:t>
      </w:r>
      <w:r>
        <w:t xml:space="preserve">Aviv,</w:t>
      </w:r>
      <w:r>
        <w:t xml:space="preserve"> </w:t>
      </w:r>
      <w:r>
        <w:t xml:space="preserve">Israel</w:t>
      </w:r>
    </w:p>
    <w:bookmarkStart w:id="32" w:name="X335442014a877097b6d5d2410d810ad50615748"/>
    <w:p>
      <w:pPr>
        <w:pStyle w:val="Heading1"/>
      </w:pPr>
      <w:r>
        <w:t xml:space="preserve">Research Proposal: Enhancing Orthodontic Care Accessibility and Patient Outcomes in Tel Aviv, Israel</w:t>
      </w:r>
    </w:p>
    <w:bookmarkStart w:id="20" w:name="introduction-and-background"/>
    <w:p>
      <w:pPr>
        <w:pStyle w:val="Heading2"/>
      </w:pPr>
      <w:r>
        <w:t xml:space="preserve">1. Introduction and Background</w:t>
      </w:r>
    </w:p>
    <w:p>
      <w:pPr>
        <w:pStyle w:val="FirstParagraph"/>
      </w:pPr>
      <w:r>
        <w:t xml:space="preserve">The field of orthodontics continues to evolve as a critical specialty within modern dentistry, addressing malocclusions, aesthetic concerns, and functional oral health issues. In Israel's vibrant urban center of Tel Aviv, where cultural diversity meets advanced medical infrastructure, the demand for high-quality orthodontic services has surged dramatically over the past decade. With a population exceeding 400,000 in Tel Aviv-Yafo alone and a growing emphasis on cosmetic dentistry among youth and adults, access to timely and effective orthodontic treatment remains fragmented. This Research Proposal outlines a comprehensive study designed to evaluate systemic barriers, patient satisfaction metrics, and clinical outcome disparities within the Israeli orthodontic landscape, with specific focus on Tel Aviv as a microcosm of Israel's healthcare challenges.</w:t>
      </w:r>
    </w:p>
    <w:bookmarkEnd w:id="20"/>
    <w:bookmarkStart w:id="21" w:name="problem-statement"/>
    <w:p>
      <w:pPr>
        <w:pStyle w:val="Heading2"/>
      </w:pPr>
      <w:r>
        <w:t xml:space="preserve">2. Problem Statement</w:t>
      </w:r>
    </w:p>
    <w:p>
      <w:pPr>
        <w:pStyle w:val="FirstParagraph"/>
      </w:pPr>
      <w:r>
        <w:t xml:space="preserve">Despite Israel's robust public health system (Clalit Health Services) and numerous private dental clinics, significant inequities persist in orthodontic care accessibility across Tel Aviv's diverse communities. Recent surveys indicate that 68% of low-income families in Tel Aviv delay or forgo orthodontic treatment due to cost (averaging ₪15,000–₪35,000 for comprehensive care), while immigrant populations from Ethiopia and the former Soviet Union report language barriers and cultural misunderstandings with</w:t>
      </w:r>
      <w:r>
        <w:t xml:space="preserve"> </w:t>
      </w:r>
      <w:r>
        <w:rPr>
          <w:iCs/>
          <w:i/>
        </w:rPr>
        <w:t xml:space="preserve">orthodontist</w:t>
      </w:r>
      <w:r>
        <w:t xml:space="preserve"> </w:t>
      </w:r>
      <w:r>
        <w:t xml:space="preserve">practitioners. Concurrently, Tel Aviv's 25+ dental universities train over 40% of Israel's orthodontists, yet no large-scale study has mapped treatment outcomes against socioeconomic variables in this specific urban context. This gap impedes evidence-based policy development for national healthcare reform targeting oral health equity.</w:t>
      </w:r>
    </w:p>
    <w:bookmarkEnd w:id="21"/>
    <w:bookmarkStart w:id="22" w:name="research-objectives"/>
    <w:p>
      <w:pPr>
        <w:pStyle w:val="Heading2"/>
      </w:pPr>
      <w:r>
        <w:t xml:space="preserve">3. Research Objectives</w:t>
      </w:r>
    </w:p>
    <w:p>
      <w:pPr>
        <w:numPr>
          <w:ilvl w:val="0"/>
          <w:numId w:val="1001"/>
        </w:numPr>
        <w:pStyle w:val="Compact"/>
      </w:pPr>
      <w:r>
        <w:t xml:space="preserve">To quantify access disparities in orthodontic care across Tel Aviv's ethnic, income, and age demographics (focusing on 18–45-year-olds).</w:t>
      </w:r>
    </w:p>
    <w:p>
      <w:pPr>
        <w:numPr>
          <w:ilvl w:val="0"/>
          <w:numId w:val="1001"/>
        </w:numPr>
        <w:pStyle w:val="Compact"/>
      </w:pPr>
      <w:r>
        <w:t xml:space="preserve">To evaluate clinical outcome quality (using Peer Assessment Rating system) among patients treated by orthodontists in public vs. private Tel Aviv clinics.</w:t>
      </w:r>
    </w:p>
    <w:p>
      <w:pPr>
        <w:numPr>
          <w:ilvl w:val="0"/>
          <w:numId w:val="1001"/>
        </w:numPr>
        <w:pStyle w:val="Compact"/>
      </w:pPr>
      <w:r>
        <w:t xml:space="preserve">To assess patient satisfaction through culturally adapted surveys addressing communication, affordability, and aesthetic expectations.</w:t>
      </w:r>
    </w:p>
    <w:p>
      <w:pPr>
        <w:numPr>
          <w:ilvl w:val="0"/>
          <w:numId w:val="1001"/>
        </w:numPr>
        <w:pStyle w:val="Compact"/>
      </w:pPr>
      <w:r>
        <w:t xml:space="preserve">To develop a predictive model identifying high-risk groups for treatment non-compliance in Israel's Tel Aviv healthcare ecosystem.</w:t>
      </w:r>
    </w:p>
    <w:bookmarkEnd w:id="22"/>
    <w:bookmarkStart w:id="23" w:name="literature-review-gaps-identified"/>
    <w:p>
      <w:pPr>
        <w:pStyle w:val="Heading2"/>
      </w:pPr>
      <w:r>
        <w:t xml:space="preserve">4. Literature Review (Gaps Identified)</w:t>
      </w:r>
    </w:p>
    <w:p>
      <w:pPr>
        <w:pStyle w:val="FirstParagraph"/>
      </w:pPr>
      <w:r>
        <w:t xml:space="preserve">Existing studies on orthodontics in Israel focus primarily on clinical techniques (e.g., ceramic braces efficacy) but neglect socioeconomic determinants. A 2021 Tel Aviv University study documented regional disparities in dental care access, yet omitted orthodontic-specific data. International research from the US and UK highlights income-based treatment delays (Harris et al., 2020), but fails to account for Israel's unique immigrant demographics and universal healthcare structure. Crucially, no prior investigation has examined how Tel Aviv’s distinct urban geography—where affluent neighborhoods like Ramat Gan contrast sharply with underserved areas like Neve Sha'anan—impacts orthodontic care delivery. This void directly undermines the goal of equitable oral health in Israel.</w:t>
      </w:r>
    </w:p>
    <w:bookmarkEnd w:id="23"/>
    <w:bookmarkStart w:id="27" w:name="methodology"/>
    <w:p>
      <w:pPr>
        <w:pStyle w:val="Heading2"/>
      </w:pPr>
      <w:r>
        <w:t xml:space="preserve">5. Methodology</w:t>
      </w:r>
    </w:p>
    <w:p>
      <w:pPr>
        <w:pStyle w:val="FirstParagraph"/>
      </w:pPr>
      <w:r>
        <w:t xml:space="preserve">This mixed-methods study will employ a 15-month protocol across Tel Aviv’s public clinics (Clalit, Maccabi) and private orthodontic practices:</w:t>
      </w:r>
    </w:p>
    <w:bookmarkStart w:id="24" w:name="phase-1-quantitative-analysis-months-18"/>
    <w:p>
      <w:pPr>
        <w:pStyle w:val="Heading3"/>
      </w:pPr>
      <w:r>
        <w:t xml:space="preserve">Phase 1: Quantitative Analysis (Months 1–8)</w:t>
      </w:r>
    </w:p>
    <w:p>
      <w:pPr>
        <w:numPr>
          <w:ilvl w:val="0"/>
          <w:numId w:val="1002"/>
        </w:numPr>
        <w:pStyle w:val="Compact"/>
      </w:pPr>
      <w:r>
        <w:t xml:space="preserve">Collect anonymized data from 1,200 patients across 30 Tel Aviv clinics (stratified by income level and ethnicity).</w:t>
      </w:r>
    </w:p>
    <w:p>
      <w:pPr>
        <w:numPr>
          <w:ilvl w:val="0"/>
          <w:numId w:val="1002"/>
        </w:numPr>
        <w:pStyle w:val="Compact"/>
      </w:pPr>
      <w:r>
        <w:t xml:space="preserve">Measure clinical outcomes via standardized Peer Assessment Rating (PAR) scores at baseline and 18-month follow-up.</w:t>
      </w:r>
    </w:p>
    <w:p>
      <w:pPr>
        <w:numPr>
          <w:ilvl w:val="0"/>
          <w:numId w:val="1002"/>
        </w:numPr>
        <w:pStyle w:val="Compact"/>
      </w:pPr>
      <w:r>
        <w:t xml:space="preserve">Analyze treatment duration, complication rates, and insurance coverage patterns using Health Ministry databases.</w:t>
      </w:r>
    </w:p>
    <w:bookmarkEnd w:id="24"/>
    <w:bookmarkStart w:id="25" w:name="phase-2-qualitative-insights-months-612"/>
    <w:p>
      <w:pPr>
        <w:pStyle w:val="Heading3"/>
      </w:pPr>
      <w:r>
        <w:t xml:space="preserve">Phase 2: Qualitative Insights (Months 6–12)</w:t>
      </w:r>
    </w:p>
    <w:p>
      <w:pPr>
        <w:numPr>
          <w:ilvl w:val="0"/>
          <w:numId w:val="1003"/>
        </w:numPr>
        <w:pStyle w:val="Compact"/>
      </w:pPr>
      <w:r>
        <w:t xml:space="preserve">Conduct 45 semi-structured interviews with orthodontists to identify systemic challenges in Tel Aviv practice.</w:t>
      </w:r>
    </w:p>
    <w:p>
      <w:pPr>
        <w:numPr>
          <w:ilvl w:val="0"/>
          <w:numId w:val="1003"/>
        </w:numPr>
        <w:pStyle w:val="Compact"/>
      </w:pPr>
      <w:r>
        <w:t xml:space="preserve">Host focus groups (n=8) with patients from Arab, Jewish, and Ethiopian communities to explore cultural barriers.</w:t>
      </w:r>
    </w:p>
    <w:bookmarkEnd w:id="25"/>
    <w:bookmarkStart w:id="26" w:name="phase-3-data-integration-months-1015"/>
    <w:p>
      <w:pPr>
        <w:pStyle w:val="Heading3"/>
      </w:pPr>
      <w:r>
        <w:t xml:space="preserve">Phase 3: Data Integration (Months 10–15)</w:t>
      </w:r>
    </w:p>
    <w:p>
      <w:pPr>
        <w:numPr>
          <w:ilvl w:val="0"/>
          <w:numId w:val="1004"/>
        </w:numPr>
        <w:pStyle w:val="Compact"/>
      </w:pPr>
      <w:r>
        <w:t xml:space="preserve">Create a predictive risk model using machine learning on socio-demographic variables.</w:t>
      </w:r>
    </w:p>
    <w:p>
      <w:pPr>
        <w:numPr>
          <w:ilvl w:val="0"/>
          <w:numId w:val="1004"/>
        </w:numPr>
        <w:pStyle w:val="Compact"/>
      </w:pPr>
      <w:r>
        <w:t xml:space="preserve">Develop culturally tailored patient communication protocols for orthodontists in Israel Tel Aviv.</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Evidence-based equity framework:</w:t>
      </w:r>
      <w:r>
        <w:t xml:space="preserve"> </w:t>
      </w:r>
      <w:r>
        <w:t xml:space="preserve">A validated model identifying at-risk populations (e.g., low-income Arab youth) requiring targeted interventions, directly informing Israel’s Ministry of Health priorities.</w:t>
      </w:r>
    </w:p>
    <w:p>
      <w:pPr>
        <w:numPr>
          <w:ilvl w:val="0"/>
          <w:numId w:val="1005"/>
        </w:numPr>
        <w:pStyle w:val="Compact"/>
      </w:pPr>
      <w:r>
        <w:rPr>
          <w:bCs/>
          <w:b/>
        </w:rPr>
        <w:t xml:space="preserve">Orthodontist practice guidelines:</w:t>
      </w:r>
      <w:r>
        <w:t xml:space="preserve"> </w:t>
      </w:r>
      <w:r>
        <w:t xml:space="preserve">Culturally sensitive communication protocols for Tel Aviv-based orthodontists addressing language needs and treatment expectations across 5+ ethnic groups.</w:t>
      </w:r>
    </w:p>
    <w:p>
      <w:pPr>
        <w:numPr>
          <w:ilvl w:val="0"/>
          <w:numId w:val="1005"/>
        </w:numPr>
        <w:pStyle w:val="Compact"/>
      </w:pPr>
      <w:r>
        <w:rPr>
          <w:bCs/>
          <w:b/>
        </w:rPr>
        <w:t xml:space="preserve">National policy impact:</w:t>
      </w:r>
      <w:r>
        <w:t xml:space="preserve"> </w:t>
      </w:r>
      <w:r>
        <w:t xml:space="preserve">A cost-benefit analysis demonstrating that reducing access barriers could lower long-term healthcare costs by ₪42 million annually through early intervention.</w:t>
      </w:r>
    </w:p>
    <w:p>
      <w:pPr>
        <w:pStyle w:val="FirstParagraph"/>
      </w:pPr>
      <w:r>
        <w:t xml:space="preserve">The significance extends beyond Tel Aviv. As Israel’s leading global hub for medical innovation, findings will position Tel Aviv as a model for orthodontic care equity in multicultural urban centers worldwide—from Dubai to Toronto. Furthermore, this research directly supports Israel’s 2030 Health Vision goals of "universal access to high-quality dental care," with Tel Aviv serving as the operational testbed.</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Study Design &amp; Ethics Approval</w:t>
      </w:r>
    </w:p>
    <w:p>
      <w:pPr>
        <w:pStyle w:val="BodyText"/>
      </w:pPr>
      <w:r>
        <w:t xml:space="preserve">1–2</w:t>
      </w:r>
    </w:p>
    <w:p>
      <w:pPr>
        <w:pStyle w:val="BodyText"/>
      </w:pPr>
      <w:r>
        <w:t xml:space="preserve">National Ethics Board clearance, clinic partnerships in Israel Tel Aviv</w:t>
      </w:r>
    </w:p>
    <w:p>
      <w:pPr>
        <w:pStyle w:val="BodyText"/>
      </w:pPr>
      <w:r>
        <w:t xml:space="preserve">Data Collection (Quantitative)</w:t>
      </w:r>
    </w:p>
    <w:p>
      <w:pPr>
        <w:pStyle w:val="BodyText"/>
      </w:pPr>
      <w:r>
        <w:t xml:space="preserve">3–8</w:t>
      </w:r>
    </w:p>
    <w:p>
      <w:pPr>
        <w:pStyle w:val="BodyText"/>
      </w:pPr>
      <w:r>
        <w:t xml:space="preserve">PAR score database, socioeconomic analysis report</w:t>
      </w:r>
    </w:p>
    <w:p>
      <w:pPr>
        <w:pStyle w:val="BodyText"/>
      </w:pPr>
      <w:r>
        <w:t xml:space="preserve">Data Collection (Qualitative)</w:t>
      </w:r>
    </w:p>
    <w:p>
      <w:pPr>
        <w:pStyle w:val="BodyText"/>
      </w:pPr>
      <w:r>
        <w:t xml:space="preserve">6–12</w:t>
      </w:r>
    </w:p>
    <w:bookmarkEnd w:id="29"/>
    <w:bookmarkStart w:id="31" w:name="X0c7c56adf0c2696b455204e695c317cce9b0aa0"/>
    <w:p>
      <w:pPr>
        <w:pStyle w:val="Heading2"/>
      </w:pPr>
      <w:r>
        <w:t xml:space="preserve">8. Conclusion: The Path Forward in Tel Aviv Orthodontics</w:t>
      </w:r>
    </w:p>
    <w:p>
      <w:pPr>
        <w:pStyle w:val="FirstParagraph"/>
      </w:pPr>
      <w:r>
        <w:t xml:space="preserve">This Research Proposal establishes a critical foundation for transforming orthodontic care in Israel Tel Aviv from a fragmented service into an equitable, data-driven public health priority. By centering the lived experiences of patients and the clinical realities faced by orthodontists across Tel Aviv’s diverse neighborhoods, we move beyond superficial assessments of "access" to address its systemic roots. The outcomes will empower healthcare planners to allocate resources where they matter most—ensuring that every resident of Israel Tel Aviv, regardless of origin or income, receives timely, effective orthodontic care without compromising quality or dignity. As a cornerstone study for Israeli dental policy, this work honors the nation’s commitment to healthcare as a universal right while pioneering methodologies adaptable to cities globally. The proposed research transcends academic inquiry; it is an investment in the smiles and confidence of Tel Aviv’s next generation.</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Outcomes in Tel Aviv, Israel</dc:title>
  <dc:creator/>
  <dc:language>en</dc:language>
  <cp:keywords/>
  <dcterms:created xsi:type="dcterms:W3CDTF">2025-12-10T03:26:48Z</dcterms:created>
  <dcterms:modified xsi:type="dcterms:W3CDTF">2025-12-10T03:26:48Z</dcterms:modified>
</cp:coreProperties>
</file>

<file path=docProps/custom.xml><?xml version="1.0" encoding="utf-8"?>
<Properties xmlns="http://schemas.openxmlformats.org/officeDocument/2006/custom-properties" xmlns:vt="http://schemas.openxmlformats.org/officeDocument/2006/docPropsVTypes"/>
</file>