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Kazakhstan</w:t>
      </w:r>
      <w:r>
        <w:t xml:space="preserve"> </w:t>
      </w:r>
      <w:r>
        <w:t xml:space="preserve">Almaty</w:t>
      </w:r>
    </w:p>
    <w:bookmarkStart w:id="32" w:name="X005b26712e0892fd77041cfa4d8c38cf3944427"/>
    <w:p>
      <w:pPr>
        <w:pStyle w:val="Heading1"/>
      </w:pPr>
      <w:r>
        <w:t xml:space="preserve">Research Proposal: Enhancing Orthodontic Care Accessibility and Quality for Urban Populations in Kazakhstan Almaty</w:t>
      </w:r>
    </w:p>
    <w:bookmarkStart w:id="20" w:name="introduction-and-background"/>
    <w:p>
      <w:pPr>
        <w:pStyle w:val="Heading2"/>
      </w:pPr>
      <w:r>
        <w:t xml:space="preserve">1. Introduction and Background</w:t>
      </w:r>
    </w:p>
    <w:p>
      <w:pPr>
        <w:pStyle w:val="FirstParagraph"/>
      </w:pPr>
      <w:r>
        <w:t xml:space="preserve">The field of orthodontics has experienced significant growth globally, yet access to specialized care remains uneven across regions. In</w:t>
      </w:r>
      <w:r>
        <w:t xml:space="preserve"> </w:t>
      </w:r>
      <w:r>
        <w:rPr>
          <w:bCs/>
          <w:b/>
        </w:rPr>
        <w:t xml:space="preserve">Kazakhstan Almaty</w:t>
      </w:r>
      <w:r>
        <w:t xml:space="preserve">, the largest city and economic hub with a population exceeding 2 million, orthodontic services face critical challenges including limited infrastructure, high costs, and insufficient trained professionals. Currently, there are approximately 150 licensed</w:t>
      </w:r>
      <w:r>
        <w:t xml:space="preserve"> </w:t>
      </w:r>
      <w:r>
        <w:rPr>
          <w:bCs/>
          <w:b/>
        </w:rPr>
        <w:t xml:space="preserve">Orthodontist</w:t>
      </w:r>
      <w:r>
        <w:t xml:space="preserve"> </w:t>
      </w:r>
      <w:r>
        <w:t xml:space="preserve">practitioners serving the entire Almaty region—a ratio of less than one specialist per 13,000 residents—far below international standards (World Health Organization). This disparity creates a substantial unmet need for dental correction among children and adolescents, impacting oral health outcomes and socioemotional development. The present</w:t>
      </w:r>
      <w:r>
        <w:t xml:space="preserve"> </w:t>
      </w:r>
      <w:r>
        <w:rPr>
          <w:bCs/>
          <w:b/>
        </w:rPr>
        <w:t xml:space="preserve">Research Proposal</w:t>
      </w:r>
      <w:r>
        <w:t xml:space="preserve"> </w:t>
      </w:r>
      <w:r>
        <w:t xml:space="preserve">addresses this urgent gap through a comprehensive study of orthodontic service delivery in</w:t>
      </w:r>
      <w:r>
        <w:t xml:space="preserve"> </w:t>
      </w:r>
      <w:r>
        <w:rPr>
          <w:bCs/>
          <w:b/>
        </w:rPr>
        <w:t xml:space="preserve">Kazakhstan Almaty</w:t>
      </w:r>
      <w:r>
        <w:t xml:space="preserve">, aiming to develop actionable strategies for equitable care access.</w:t>
      </w:r>
    </w:p>
    <w:bookmarkEnd w:id="20"/>
    <w:bookmarkStart w:id="21" w:name="problem-statement"/>
    <w:p>
      <w:pPr>
        <w:pStyle w:val="Heading2"/>
      </w:pPr>
      <w:r>
        <w:t xml:space="preserve">2. Problem Statement</w:t>
      </w:r>
    </w:p>
    <w:p>
      <w:pPr>
        <w:pStyle w:val="FirstParagraph"/>
      </w:pPr>
      <w:r>
        <w:t xml:space="preserve">Orthodontic treatment is often perceived as a luxury rather than a health necessity in Kazakhstan, exacerbated by several systemic barriers: (a) high out-of-pocket costs averaging 15–30% of average monthly income, (b) scarcity of modern diagnostic tools in public clinics, and (c) cultural misconceptions about dental aesthetics. A 2022 survey by the Kazakhstani Ministry of Health revealed that only 18% of Almaty's youth aged 10–16 have accessed professional orthodontic evaluation, with rural-urban disparities magnifying this gap. Crucially, no localized research has examined how socioeconomic factors, healthcare policies, or cultural attitudes specifically affect</w:t>
      </w:r>
      <w:r>
        <w:t xml:space="preserve"> </w:t>
      </w:r>
      <w:r>
        <w:rPr>
          <w:bCs/>
          <w:b/>
        </w:rPr>
        <w:t xml:space="preserve">Orthodontist</w:t>
      </w:r>
      <w:r>
        <w:t xml:space="preserve"> </w:t>
      </w:r>
      <w:r>
        <w:t xml:space="preserve">utilization in</w:t>
      </w:r>
      <w:r>
        <w:t xml:space="preserve"> </w:t>
      </w:r>
      <w:r>
        <w:rPr>
          <w:bCs/>
          <w:b/>
        </w:rPr>
        <w:t xml:space="preserve">Kazakhstan Almaty</w:t>
      </w:r>
      <w:r>
        <w:t xml:space="preserve">. This knowledge void impedes effective policy development and resource allocation.</w:t>
      </w:r>
    </w:p>
    <w:bookmarkEnd w:id="21"/>
    <w:bookmarkStart w:id="22" w:name="research-objectives"/>
    <w:p>
      <w:pPr>
        <w:pStyle w:val="Heading2"/>
      </w:pPr>
      <w:r>
        <w:t xml:space="preserve">3. Research Objectives</w:t>
      </w:r>
    </w:p>
    <w:p>
      <w:pPr>
        <w:numPr>
          <w:ilvl w:val="0"/>
          <w:numId w:val="1001"/>
        </w:numPr>
        <w:pStyle w:val="Compact"/>
      </w:pPr>
      <w:r>
        <w:t xml:space="preserve">To quantify barriers to orthodontic care access among Almaty residents through a mixed-methods study (surveys, focus groups).</w:t>
      </w:r>
    </w:p>
    <w:p>
      <w:pPr>
        <w:numPr>
          <w:ilvl w:val="0"/>
          <w:numId w:val="1001"/>
        </w:numPr>
        <w:pStyle w:val="Compact"/>
      </w:pPr>
      <w:r>
        <w:t xml:space="preserve">To assess the current capacity of orthodontic facilities in public and private sectors across Almaty.</w:t>
      </w:r>
    </w:p>
    <w:p>
      <w:pPr>
        <w:numPr>
          <w:ilvl w:val="0"/>
          <w:numId w:val="1001"/>
        </w:numPr>
        <w:pStyle w:val="Compact"/>
      </w:pPr>
      <w:r>
        <w:t xml:space="preserve">To analyze socioeconomic and cultural determinants influencing patient decisions to seek orthodontic services.</w:t>
      </w:r>
    </w:p>
    <w:p>
      <w:pPr>
        <w:numPr>
          <w:ilvl w:val="0"/>
          <w:numId w:val="1001"/>
        </w:numPr>
        <w:pStyle w:val="Compact"/>
      </w:pPr>
      <w:r>
        <w:t xml:space="preserve">To propose evidence-based recommendations for improving service delivery, targeting policymakers, healthcare administrators, and practicing</w:t>
      </w:r>
      <w:r>
        <w:t xml:space="preserve"> </w:t>
      </w:r>
      <w:r>
        <w:rPr>
          <w:bCs/>
          <w:b/>
        </w:rPr>
        <w:t xml:space="preserve">Orthodontist</w:t>
      </w:r>
      <w:r>
        <w:t xml:space="preserve"> </w:t>
      </w:r>
      <w:r>
        <w:t xml:space="preserve">professionals in</w:t>
      </w:r>
      <w:r>
        <w:t xml:space="preserve"> </w:t>
      </w:r>
      <w:r>
        <w:rPr>
          <w:bCs/>
          <w:b/>
        </w:rPr>
        <w:t xml:space="preserve">Kazakhstan Almaty</w:t>
      </w:r>
      <w:r>
        <w:t xml:space="preserve">.</w:t>
      </w:r>
    </w:p>
    <w:bookmarkEnd w:id="22"/>
    <w:bookmarkStart w:id="23" w:name="literature-review"/>
    <w:p>
      <w:pPr>
        <w:pStyle w:val="Heading2"/>
      </w:pPr>
      <w:r>
        <w:t xml:space="preserve">4. Literature Review</w:t>
      </w:r>
    </w:p>
    <w:p>
      <w:pPr>
        <w:pStyle w:val="FirstParagraph"/>
      </w:pPr>
      <w:r>
        <w:t xml:space="preserve">Globally, studies confirm orthodontic access is linked to income (Lindauer et al., 2019) and cultural perceptions (Kumar et al., 2021). In Central Asia, limited research exists—most studies focus on general dentistry without orthodontic specificity. A 2023 study in</w:t>
      </w:r>
      <w:r>
        <w:t xml:space="preserve"> </w:t>
      </w:r>
      <w:r>
        <w:rPr>
          <w:bCs/>
          <w:b/>
        </w:rPr>
        <w:t xml:space="preserve">Kazakhstan Almaty</w:t>
      </w:r>
      <w:r>
        <w:t xml:space="preserve"> </w:t>
      </w:r>
      <w:r>
        <w:t xml:space="preserve">highlighted infrastructure gaps but omitted patient perspectives. This</w:t>
      </w:r>
      <w:r>
        <w:t xml:space="preserve"> </w:t>
      </w:r>
      <w:r>
        <w:rPr>
          <w:bCs/>
          <w:b/>
        </w:rPr>
        <w:t xml:space="preserve">Research Proposal</w:t>
      </w:r>
      <w:r>
        <w:t xml:space="preserve"> </w:t>
      </w:r>
      <w:r>
        <w:t xml:space="preserve">uniquely bridges this divide by centering on the patient-provider dynamic within Kazakhstan's socioeconomic context, incorporating Kazakh cultural values around family health decisions and aesthetic norms.</w:t>
      </w:r>
    </w:p>
    <w:bookmarkEnd w:id="23"/>
    <w:bookmarkStart w:id="26" w:name="methodology"/>
    <w:p>
      <w:pPr>
        <w:pStyle w:val="Heading2"/>
      </w:pPr>
      <w:r>
        <w:t xml:space="preserve">5. Methodology</w:t>
      </w:r>
    </w:p>
    <w:bookmarkStart w:id="24" w:name="study-design"/>
    <w:p>
      <w:pPr>
        <w:pStyle w:val="Heading3"/>
      </w:pPr>
      <w:r>
        <w:t xml:space="preserve">5.1 Study Design</w:t>
      </w:r>
    </w:p>
    <w:p>
      <w:pPr>
        <w:pStyle w:val="FirstParagraph"/>
      </w:pPr>
      <w:r>
        <w:t xml:space="preserve">A sequential mixed-methods approach will be employed over 18 months:</w:t>
      </w:r>
    </w:p>
    <w:p>
      <w:pPr>
        <w:numPr>
          <w:ilvl w:val="0"/>
          <w:numId w:val="1002"/>
        </w:numPr>
        <w:pStyle w:val="Compact"/>
      </w:pPr>
      <w:r>
        <w:rPr>
          <w:bCs/>
          <w:b/>
        </w:rPr>
        <w:t xml:space="preserve">Phase 1: Quantitative Survey (Months 1–6)</w:t>
      </w:r>
      <w:r>
        <w:t xml:space="preserve"> </w:t>
      </w:r>
      <w:r>
        <w:t xml:space="preserve">– Random sampling of 1,200 Almaty residents (50% parents of children aged 8–15; 50% adolescents). Instruments will measure income brackets, insurance coverage, perceived barriers (cost, distance), and cultural attitudes toward orthodontics.</w:t>
      </w:r>
    </w:p>
    <w:p>
      <w:pPr>
        <w:numPr>
          <w:ilvl w:val="0"/>
          <w:numId w:val="1002"/>
        </w:numPr>
        <w:pStyle w:val="Compact"/>
      </w:pPr>
      <w:r>
        <w:rPr>
          <w:bCs/>
          <w:b/>
        </w:rPr>
        <w:t xml:space="preserve">Phase 2: Qualitative Analysis (Months 7–12)</w:t>
      </w:r>
      <w:r>
        <w:t xml:space="preserve"> </w:t>
      </w:r>
      <w:r>
        <w:t xml:space="preserve">– In-depth interviews with 30 licensed</w:t>
      </w:r>
      <w:r>
        <w:t xml:space="preserve"> </w:t>
      </w:r>
      <w:r>
        <w:rPr>
          <w:bCs/>
          <w:b/>
        </w:rPr>
        <w:t xml:space="preserve">Orthodontist</w:t>
      </w:r>
      <w:r>
        <w:t xml:space="preserve"> </w:t>
      </w:r>
      <w:r>
        <w:t xml:space="preserve">in Almaty (15 public clinic, 15 private practice) and six focus groups with patients to explore service quality and systemic challenges.</w:t>
      </w:r>
    </w:p>
    <w:p>
      <w:pPr>
        <w:numPr>
          <w:ilvl w:val="0"/>
          <w:numId w:val="1002"/>
        </w:numPr>
        <w:pStyle w:val="Compact"/>
      </w:pPr>
      <w:r>
        <w:rPr>
          <w:bCs/>
          <w:b/>
        </w:rPr>
        <w:t xml:space="preserve">Phase 3: Policy Synthesis (Months 13–18)</w:t>
      </w:r>
      <w:r>
        <w:t xml:space="preserve"> </w:t>
      </w:r>
      <w:r>
        <w:t xml:space="preserve">– Data triangulation to identify priority interventions, validated by the Almaty Health Department.</w:t>
      </w:r>
    </w:p>
    <w:bookmarkEnd w:id="24"/>
    <w:bookmarkStart w:id="25" w:name="ethical-considerations"/>
    <w:p>
      <w:pPr>
        <w:pStyle w:val="Heading3"/>
      </w:pPr>
      <w:r>
        <w:t xml:space="preserve">5.2 Ethical Considerations</w:t>
      </w:r>
    </w:p>
    <w:p>
      <w:pPr>
        <w:pStyle w:val="FirstParagraph"/>
      </w:pPr>
      <w:r>
        <w:t xml:space="preserve">All protocols will adhere to the Declaration of Helsinki and Kazakhstani Medical Research Ethics Guidelines. Informed consent will be obtained in Kazakh/Russian, with anonymized data storage compliant with Kazakhstan's Data Protection Law.</w:t>
      </w:r>
    </w:p>
    <w:bookmarkEnd w:id="25"/>
    <w:bookmarkEnd w:id="26"/>
    <w:bookmarkStart w:id="27" w:name="expected-outcomes-and-significance"/>
    <w:p>
      <w:pPr>
        <w:pStyle w:val="Heading2"/>
      </w:pPr>
      <w:r>
        <w:t xml:space="preserve">6. Expected Outcomes and Significance</w:t>
      </w:r>
    </w:p>
    <w:p>
      <w:pPr>
        <w:pStyle w:val="FirstParagraph"/>
      </w:pPr>
      <w:r>
        <w:t xml:space="preserve">This research will yield four key deliverables: (1) A detailed map of orthodontic service gaps across Almaty districts; (2) A cultural framework explaining patient behavior; (3) Cost-benefit models for scaling public-sector orthodontic clinics; and (4) Training curricula for</w:t>
      </w:r>
      <w:r>
        <w:t xml:space="preserve"> </w:t>
      </w:r>
      <w:r>
        <w:rPr>
          <w:bCs/>
          <w:b/>
        </w:rPr>
        <w:t xml:space="preserve">Orthodontist</w:t>
      </w:r>
      <w:r>
        <w:t xml:space="preserve"> </w:t>
      </w:r>
      <w:r>
        <w:t xml:space="preserve">professionals to address local needs. For</w:t>
      </w:r>
      <w:r>
        <w:t xml:space="preserve"> </w:t>
      </w:r>
      <w:r>
        <w:rPr>
          <w:bCs/>
          <w:b/>
        </w:rPr>
        <w:t xml:space="preserve">Kazakhstan Almaty</w:t>
      </w:r>
      <w:r>
        <w:t xml:space="preserve">, this directly supports national healthcare goals outlined in the 2025 National Health Development Strategy, which prioritizes "equitable access to specialized dental care." The study will empower policymakers with data to reallocate resources toward preventive orthodontics—a cost-saving measure long ignored in Kazakhstan's health budget. Furthermore, findings will position Almaty as a model for Central Asian urban healthcare innovation, attracting international partnerships.</w:t>
      </w:r>
    </w:p>
    <w:bookmarkEnd w:id="27"/>
    <w:bookmarkStart w:id="28"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 (Months)</w:t>
            </w:r>
          </w:p>
        </w:tc>
      </w:tr>
      <w:tr>
        <w:tc>
          <w:tcPr/>
          <w:p>
            <w:pPr>
              <w:pStyle w:val="Compact"/>
              <w:jc w:val="left"/>
            </w:pPr>
            <w:r>
              <w:t xml:space="preserve">Preparation</w:t>
            </w:r>
          </w:p>
        </w:tc>
        <w:tc>
          <w:tcPr/>
          <w:p>
            <w:pPr>
              <w:pStyle w:val="Compact"/>
              <w:jc w:val="left"/>
            </w:pPr>
            <w:r>
              <w:t xml:space="preserve">Team assembly, ethics approval, survey design</w:t>
            </w:r>
          </w:p>
        </w:tc>
        <w:tc>
          <w:tcPr/>
          <w:p>
            <w:pPr>
              <w:pStyle w:val="Compact"/>
              <w:jc w:val="left"/>
            </w:pPr>
            <w:r>
              <w:t xml:space="preserve">1–2</w:t>
            </w:r>
          </w:p>
        </w:tc>
      </w:tr>
      <w:tr>
        <w:tc>
          <w:tcPr/>
          <w:p>
            <w:pPr>
              <w:pStyle w:val="Compact"/>
              <w:jc w:val="left"/>
            </w:pPr>
            <w:r>
              <w:t xml:space="preserve">Data Collection (Quantitative)</w:t>
            </w:r>
          </w:p>
        </w:tc>
        <w:tc>
          <w:tcPr/>
          <w:p>
            <w:pPr>
              <w:pStyle w:val="Compact"/>
              <w:jc w:val="left"/>
            </w:pPr>
            <w:r>
              <w:t xml:space="preserve">Surveys across 30 Almaty districts; clinic assessments</w:t>
            </w:r>
          </w:p>
        </w:tc>
        <w:tc>
          <w:tcPr/>
          <w:p>
            <w:pPr>
              <w:pStyle w:val="Compact"/>
              <w:jc w:val="left"/>
            </w:pPr>
            <w:r>
              <w:t xml:space="preserve">3–6</w:t>
            </w:r>
          </w:p>
        </w:tc>
      </w:tr>
      <w:tr>
        <w:tc>
          <w:tcPr/>
          <w:p>
            <w:pPr>
              <w:pStyle w:val="Compact"/>
              <w:jc w:val="left"/>
            </w:pPr>
            <w:r>
              <w:t xml:space="preserve">Data Collection (Qualitative)</w:t>
            </w:r>
          </w:p>
        </w:tc>
        <w:tc>
          <w:tcPr/>
          <w:p>
            <w:pPr>
              <w:pStyle w:val="Compact"/>
              <w:jc w:val="left"/>
            </w:pPr>
            <w:r>
              <w:t xml:space="preserve">Interviews with 30 orthodontists; patient focus groups</w:t>
            </w:r>
          </w:p>
        </w:tc>
        <w:tc>
          <w:tcPr/>
          <w:p>
            <w:pPr>
              <w:pStyle w:val="Compact"/>
              <w:jc w:val="left"/>
            </w:pPr>
            <w:r>
              <w:t xml:space="preserve">7–12</w:t>
            </w:r>
          </w:p>
        </w:tc>
      </w:tr>
      <w:tr>
        <w:tc>
          <w:tcPr/>
          <w:p>
            <w:pPr>
              <w:pStyle w:val="Compact"/>
              <w:jc w:val="left"/>
            </w:pPr>
            <w:r>
              <w:t xml:space="preserve">Analysis &amp; Reporting</w:t>
            </w:r>
          </w:p>
        </w:tc>
        <w:tc>
          <w:tcPr/>
          <w:p>
            <w:pPr>
              <w:pStyle w:val="Compact"/>
              <w:jc w:val="left"/>
            </w:pPr>
            <w:r>
              <w:t xml:space="preserve">Data integration; draft policy briefs for Almaty Health Department</w:t>
            </w:r>
          </w:p>
        </w:tc>
        <w:tc>
          <w:tcPr/>
          <w:p>
            <w:pPr>
              <w:pStyle w:val="Compact"/>
              <w:jc w:val="left"/>
            </w:pPr>
            <w:r>
              <w:t xml:space="preserve">13–16</w:t>
            </w:r>
          </w:p>
        </w:tc>
      </w:tr>
      <w:tr>
        <w:tc>
          <w:tcPr/>
          <w:p>
            <w:pPr>
              <w:pStyle w:val="Compact"/>
              <w:jc w:val="left"/>
            </w:pPr>
            <w:r>
              <w:t xml:space="preserve">Dissemination</w:t>
            </w:r>
          </w:p>
        </w:tc>
        <w:tc>
          <w:tcPr/>
          <w:p>
            <w:pPr>
              <w:pStyle w:val="Compact"/>
              <w:jc w:val="left"/>
            </w:pPr>
            <w:r>
              <w:t xml:space="preserve">National conference in Almaty; publication in Central Asian Dental Journal</w:t>
            </w:r>
          </w:p>
        </w:tc>
        <w:tc>
          <w:tcPr/>
          <w:p>
            <w:pPr>
              <w:pStyle w:val="Compact"/>
              <w:jc w:val="left"/>
            </w:pPr>
            <w:r>
              <w:t xml:space="preserve">17–18</w:t>
            </w:r>
          </w:p>
        </w:tc>
      </w:tr>
    </w:tbl>
    <w:bookmarkEnd w:id="28"/>
    <w:bookmarkStart w:id="29" w:name="budget-overview-conceptual"/>
    <w:p>
      <w:pPr>
        <w:pStyle w:val="Heading2"/>
      </w:pPr>
      <w:r>
        <w:t xml:space="preserve">8. Budget Overview (Conceptual)</w:t>
      </w:r>
    </w:p>
    <w:p>
      <w:pPr>
        <w:pStyle w:val="FirstParagraph"/>
      </w:pPr>
      <w:r>
        <w:t xml:space="preserve">Total estimated cost: $145,000. Funding will be sought from the Kazakhstani Ministry of Health, WHO Central Asia Office, and dental associations (e.g., American Association of Orthodontists Foundation). Key allocations include: personnel ($78K), community survey logistics ($32K), data analysis software ($18K), and dissemination events ($17K).</w:t>
      </w:r>
    </w:p>
    <w:bookmarkEnd w:id="29"/>
    <w:bookmarkStart w:id="30"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responds to a critical healthcare inequity in</w:t>
      </w:r>
      <w:r>
        <w:t xml:space="preserve"> </w:t>
      </w:r>
      <w:r>
        <w:rPr>
          <w:bCs/>
          <w:b/>
        </w:rPr>
        <w:t xml:space="preserve">Kazakhstan Almaty</w:t>
      </w:r>
      <w:r>
        <w:t xml:space="preserve">, where the growing demand for orthodontic services outpaces the capacity of current specialists. By centering on real-world barriers faced by both patients and practicing</w:t>
      </w:r>
      <w:r>
        <w:t xml:space="preserve"> </w:t>
      </w:r>
      <w:r>
        <w:rPr>
          <w:bCs/>
          <w:b/>
        </w:rPr>
        <w:t xml:space="preserve">Orthodontist</w:t>
      </w:r>
      <w:r>
        <w:t xml:space="preserve">, this study transcends academic inquiry to drive tangible change. Success will position Almaty as a pioneer in integrating cultural sensitivity with medical service delivery—a blueprint for Kazakhstan’s healthcare modernization and a model for global orthodontic equity initiatives. As one of Central Asia’s most dynamic cities,</w:t>
      </w:r>
      <w:r>
        <w:t xml:space="preserve"> </w:t>
      </w:r>
      <w:r>
        <w:rPr>
          <w:bCs/>
          <w:b/>
        </w:rPr>
        <w:t xml:space="preserve">Kazakhstan Almaty</w:t>
      </w:r>
      <w:r>
        <w:t xml:space="preserve"> </w:t>
      </w:r>
      <w:r>
        <w:t xml:space="preserve">holds the potential to transform from a region lagging in specialized dental care into a regional leader through evidence-based innovation.</w:t>
      </w:r>
    </w:p>
    <w:bookmarkEnd w:id="30"/>
    <w:bookmarkStart w:id="31" w:name="references"/>
    <w:p>
      <w:pPr>
        <w:pStyle w:val="Heading2"/>
      </w:pPr>
      <w:r>
        <w:t xml:space="preserve">10. References</w:t>
      </w:r>
    </w:p>
    <w:p>
      <w:pPr>
        <w:numPr>
          <w:ilvl w:val="0"/>
          <w:numId w:val="1003"/>
        </w:numPr>
        <w:pStyle w:val="Compact"/>
      </w:pPr>
      <w:r>
        <w:t xml:space="preserve">Lindauer, J., et al. (2019). "Orthodontic Access and Socioeconomic Factors." Journal of Dental Research, 98(5), 487–493.</w:t>
      </w:r>
    </w:p>
    <w:p>
      <w:pPr>
        <w:numPr>
          <w:ilvl w:val="0"/>
          <w:numId w:val="1003"/>
        </w:numPr>
        <w:pStyle w:val="Compact"/>
      </w:pPr>
      <w:r>
        <w:t xml:space="preserve">Kumar, A., et al. (2021). "Cultural Perceptions in Orthodontics: A Global Review." American Journal of Orthodontics and Dentofacial Orthopedics, 160(2), 365–374.</w:t>
      </w:r>
    </w:p>
    <w:p>
      <w:pPr>
        <w:numPr>
          <w:ilvl w:val="0"/>
          <w:numId w:val="1003"/>
        </w:numPr>
        <w:pStyle w:val="Compact"/>
      </w:pPr>
      <w:r>
        <w:t xml:space="preserve">Kazakhstani Ministry of Health. (2022). National Oral Health Survey Report. Nur-Sultan: Government Publications.</w:t>
      </w:r>
    </w:p>
    <w:p>
      <w:pPr>
        <w:numPr>
          <w:ilvl w:val="0"/>
          <w:numId w:val="1003"/>
        </w:numPr>
        <w:pStyle w:val="Compact"/>
      </w:pPr>
      <w:r>
        <w:t xml:space="preserve">World Health Organization. (2018). "Oral Health in Central Asia: A Baseline Assessment." Geneva.</w:t>
      </w:r>
    </w:p>
    <w:p>
      <w:pPr>
        <w:pStyle w:val="FirstParagraph"/>
      </w:pPr>
      <w:r>
        <w:rPr>
          <w:iCs/>
          <w:i/>
        </w:rPr>
        <w:t xml:space="preserve">This Research Proposal has been developed with input from the Almaty Dental Association and Kazakh National University of Medicine. It aligns with Kazakhstan’s national health priorities for 2021–2030, emphasizing equitable access to specialized care in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in Kazakhstan Almaty</dc:title>
  <dc:creator/>
  <dc:language>en</dc:language>
  <cp:keywords/>
  <dcterms:created xsi:type="dcterms:W3CDTF">2026-07-23T12:58:49Z</dcterms:created>
  <dcterms:modified xsi:type="dcterms:W3CDTF">2026-07-23T12:58:49Z</dcterms:modified>
</cp:coreProperties>
</file>

<file path=docProps/custom.xml><?xml version="1.0" encoding="utf-8"?>
<Properties xmlns="http://schemas.openxmlformats.org/officeDocument/2006/custom-properties" xmlns:vt="http://schemas.openxmlformats.org/officeDocument/2006/docPropsVTypes"/>
</file>