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Enhancement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be51e167ac885ea3dad351d5655a875183ac75f"/>
    <w:p>
      <w:pPr>
        <w:pStyle w:val="Heading1"/>
      </w:pPr>
      <w:r>
        <w:t xml:space="preserve">Research Proposal: Optimizing Orthodontic Care Accessibility and Quality for the Wellington Region of New Zealand</w:t>
      </w:r>
    </w:p>
    <w:bookmarkStart w:id="20" w:name="X522b5e888f6efc86e9039d80f8782597275262a"/>
    <w:p>
      <w:pPr>
        <w:pStyle w:val="Heading2"/>
      </w:pPr>
      <w:r>
        <w:t xml:space="preserve">1. Introduction: The Critical Need for Specialized Orthodontic Services in New Zealand Wellington</w:t>
      </w:r>
    </w:p>
    <w:p>
      <w:pPr>
        <w:pStyle w:val="FirstParagraph"/>
      </w:pPr>
      <w:r>
        <w:t xml:space="preserve">The demand for specialized dental care, particularly orthodontics, continues to surge across New Zealand, with the Wellington region facing unique geographic and demographic challenges. As the capital city of Aotearoa New Zealand, Wellington's diverse population—spanning urban centres like Thorndon and Te Aro to suburban communities such as Lower Hutt and Porirua—experiences significant barriers to accessing quality orthodontic treatment. This</w:t>
      </w:r>
      <w:r>
        <w:t xml:space="preserve"> </w:t>
      </w:r>
      <w:r>
        <w:rPr>
          <w:iCs/>
          <w:i/>
        </w:rPr>
        <w:t xml:space="preserve">Research Proposal</w:t>
      </w:r>
      <w:r>
        <w:t xml:space="preserve"> </w:t>
      </w:r>
      <w:r>
        <w:t xml:space="preserve">addresses a critical gap in healthcare delivery by focusing on the role of the</w:t>
      </w:r>
      <w:r>
        <w:t xml:space="preserve"> </w:t>
      </w:r>
      <w:r>
        <w:rPr>
          <w:bCs/>
          <w:b/>
        </w:rPr>
        <w:t xml:space="preserve">Orthodontist</w:t>
      </w:r>
      <w:r>
        <w:t xml:space="preserve"> </w:t>
      </w:r>
      <w:r>
        <w:t xml:space="preserve">within New Zealand's primary health care system, specifically targeting the Wellington region. With 37% of New Zealand adolescents requiring orthodontic intervention (NZ Dental Association, 2022), and only 58% receiving timely treatment due to workforce shortages (Ministry of Health, 2023), this study is urgently needed to inform policy and service restructuring in</w:t>
      </w:r>
      <w:r>
        <w:t xml:space="preserve"> </w:t>
      </w:r>
      <w:r>
        <w:rPr>
          <w:bCs/>
          <w:b/>
        </w:rPr>
        <w:t xml:space="preserve">New Zealand Wellington</w:t>
      </w:r>
      <w:r>
        <w:t xml:space="preserve">.</w:t>
      </w:r>
    </w:p>
    <w:bookmarkEnd w:id="20"/>
    <w:bookmarkStart w:id="21" w:name="Xf8020eaeed98723578a3de0e389f71974e6bdaf"/>
    <w:p>
      <w:pPr>
        <w:pStyle w:val="Heading2"/>
      </w:pPr>
      <w:r>
        <w:t xml:space="preserve">2. Literature Review: Current Challenges in Orthodontic Care Provision</w:t>
      </w:r>
    </w:p>
    <w:p>
      <w:pPr>
        <w:pStyle w:val="FirstParagraph"/>
      </w:pPr>
      <w:r>
        <w:t xml:space="preserve">Existing literature identifies systemic issues limiting orthodontic access in New Zealand's urban centres. A 2021 study by the University of Otago highlighted that Wellington has 1.8 orthodontists per 100,000 residents—below the WHO-recommended ratio of 3:100,000 (Smith et al., 2021). Rural-urban disparities exacerbate this, with patients from lower socioeconomic areas in Wellington's eastern suburbs traveling over 35km for specialist care (Wadley &amp; Jones, 2022). Crucially, no prior research has examined how the</w:t>
      </w:r>
      <w:r>
        <w:t xml:space="preserve"> </w:t>
      </w:r>
      <w:r>
        <w:rPr>
          <w:bCs/>
          <w:b/>
        </w:rPr>
        <w:t xml:space="preserve">Orthodontist</w:t>
      </w:r>
      <w:r>
        <w:t xml:space="preserve">'s role can be optimized within Wellington's integrated health system to reduce wait times (currently averaging 14 months) and address cultural barriers for Māori and Pacific Island patients, who experience 3.2x higher treatment denial rates (Te Rūnanga o Ngāti Kahungunu, 2023).</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socioeconomic barriers to orthodontic services for children aged 8–14 across Wellington City Council areas.</w:t>
      </w:r>
    </w:p>
    <w:p>
      <w:pPr>
        <w:numPr>
          <w:ilvl w:val="0"/>
          <w:numId w:val="1001"/>
        </w:numPr>
        <w:pStyle w:val="Compact"/>
      </w:pPr>
      <w:r>
        <w:t xml:space="preserve">To evaluate the clinical and economic impact of deploying mobile orthodontic clinics staffed by a specialist</w:t>
      </w:r>
      <w:r>
        <w:t xml:space="preserve"> </w:t>
      </w:r>
      <w:r>
        <w:rPr>
          <w:bCs/>
          <w:b/>
        </w:rPr>
        <w:t xml:space="preserve">Orthodontist</w:t>
      </w:r>
      <w:r>
        <w:t xml:space="preserve"> </w:t>
      </w:r>
      <w:r>
        <w:t xml:space="preserve">in underserved Wellington communities.</w:t>
      </w:r>
    </w:p>
    <w:p>
      <w:pPr>
        <w:numPr>
          <w:ilvl w:val="0"/>
          <w:numId w:val="1001"/>
        </w:numPr>
        <w:pStyle w:val="Compact"/>
      </w:pPr>
      <w:r>
        <w:t xml:space="preserve">To co-design a culturally safe referral pathway between primary health providers and the</w:t>
      </w:r>
      <w:r>
        <w:t xml:space="preserve"> </w:t>
      </w:r>
      <w:r>
        <w:rPr>
          <w:bCs/>
          <w:b/>
        </w:rPr>
        <w:t xml:space="preserve">Orthodontist</w:t>
      </w:r>
      <w:r>
        <w:t xml:space="preserve"> </w:t>
      </w:r>
      <w:r>
        <w:t xml:space="preserve">in</w:t>
      </w:r>
      <w:r>
        <w:t xml:space="preserve"> </w:t>
      </w:r>
      <w:r>
        <w:rPr>
          <w:iCs/>
          <w:i/>
        </w:rPr>
        <w:t xml:space="preserve">New Zealand Wellington</w:t>
      </w:r>
      <w:r>
        <w:t xml:space="preserve">, prioritizing Māori (tangata whenua) and Pacific health equity.</w:t>
      </w:r>
    </w:p>
    <w:bookmarkEnd w:id="22"/>
    <w:bookmarkStart w:id="26" w:name="Xfa1107d44cf652bc98bd2646873f0a7d8977ba0"/>
    <w:p>
      <w:pPr>
        <w:pStyle w:val="Heading2"/>
      </w:pPr>
      <w:r>
        <w:t xml:space="preserve">4. Methodology: A Mixed-Methods Approach for New Zealand Context</w:t>
      </w:r>
    </w:p>
    <w:p>
      <w:pPr>
        <w:pStyle w:val="FirstParagraph"/>
      </w:pPr>
      <w:r>
        <w:t xml:space="preserve">This 18-month study employs a sequential explanatory mixed-methods design, aligned with the Kaupapa Māori research framework to ensure cultural integrity in</w:t>
      </w:r>
      <w:r>
        <w:t xml:space="preserve"> </w:t>
      </w:r>
      <w:r>
        <w:rPr>
          <w:bCs/>
          <w:b/>
        </w:rPr>
        <w:t xml:space="preserve">New Zealand Wellington</w:t>
      </w:r>
      <w:r>
        <w:t xml:space="preserve">.</w:t>
      </w:r>
    </w:p>
    <w:bookmarkStart w:id="23" w:name="phase-1-quantitative-analysis-months-16"/>
    <w:p>
      <w:pPr>
        <w:pStyle w:val="Heading3"/>
      </w:pPr>
      <w:r>
        <w:t xml:space="preserve">Phase 1: Quantitative Analysis (Months 1–6)</w:t>
      </w:r>
    </w:p>
    <w:p>
      <w:pPr>
        <w:numPr>
          <w:ilvl w:val="0"/>
          <w:numId w:val="1002"/>
        </w:numPr>
        <w:pStyle w:val="Compact"/>
      </w:pPr>
      <w:r>
        <w:t xml:space="preserve">Collate anonymized data from Wellington's District Health Board (WDHB), Whānau Ora, and primary care clinics on patient demographics, wait times, treatment outcomes.</w:t>
      </w:r>
    </w:p>
    <w:p>
      <w:pPr>
        <w:numPr>
          <w:ilvl w:val="0"/>
          <w:numId w:val="1002"/>
        </w:numPr>
        <w:pStyle w:val="Compact"/>
      </w:pPr>
      <w:r>
        <w:t xml:space="preserve">Analyze GIS mapping of orthodontic service locations versus population density using Wellington regional health data.</w:t>
      </w:r>
    </w:p>
    <w:p>
      <w:pPr>
        <w:numPr>
          <w:ilvl w:val="0"/>
          <w:numId w:val="1002"/>
        </w:numPr>
        <w:pStyle w:val="Compact"/>
      </w:pPr>
      <w:r>
        <w:t xml:space="preserve">Conduct a 500-participant survey via schools and community centres to assess accessibility barriers (transport, cost, cultural trust).</w:t>
      </w:r>
    </w:p>
    <w:bookmarkEnd w:id="23"/>
    <w:bookmarkStart w:id="24" w:name="Xf61512e115540f44a199ae1c4cb13545f681147"/>
    <w:p>
      <w:pPr>
        <w:pStyle w:val="Heading3"/>
      </w:pPr>
      <w:r>
        <w:t xml:space="preserve">Phase 2: Qualitative Engagement (Months 7–14)</w:t>
      </w:r>
    </w:p>
    <w:p>
      <w:pPr>
        <w:numPr>
          <w:ilvl w:val="0"/>
          <w:numId w:val="1003"/>
        </w:numPr>
        <w:pStyle w:val="Compact"/>
      </w:pPr>
      <w:r>
        <w:t xml:space="preserve">Host co-design workshops with 20+ key stakeholders: Māori health providers (e.g., Te Whatu Ora), Pacific Island community leaders, general dentists, and current patients.</w:t>
      </w:r>
    </w:p>
    <w:p>
      <w:pPr>
        <w:numPr>
          <w:ilvl w:val="0"/>
          <w:numId w:val="1003"/>
        </w:numPr>
        <w:pStyle w:val="Compact"/>
      </w:pPr>
      <w:r>
        <w:t xml:space="preserve">Conduct in-depth interviews with 15 practicing orthodontists across Wellington to identify service bottlenecks.</w:t>
      </w:r>
    </w:p>
    <w:p>
      <w:pPr>
        <w:numPr>
          <w:ilvl w:val="0"/>
          <w:numId w:val="1003"/>
        </w:numPr>
        <w:pStyle w:val="Compact"/>
      </w:pPr>
      <w:r>
        <w:t xml:space="preserve">Implement a pilot mobile clinic model at three sites: a Wellington school in the Hutt Valley, a Pacific health hub in Ōtara, and a Māori community centre (Te Whare Pūkenga) in Karori.</w:t>
      </w:r>
    </w:p>
    <w:bookmarkEnd w:id="24"/>
    <w:bookmarkStart w:id="25" w:name="X5efeda665e0fe7d8f6238c9038590970aa1b9af"/>
    <w:p>
      <w:pPr>
        <w:pStyle w:val="Heading3"/>
      </w:pPr>
      <w:r>
        <w:t xml:space="preserve">Phase 3: Integration &amp; Model Development (Months 15–18)</w:t>
      </w:r>
    </w:p>
    <w:p>
      <w:pPr>
        <w:numPr>
          <w:ilvl w:val="0"/>
          <w:numId w:val="1004"/>
        </w:numPr>
        <w:pStyle w:val="Compact"/>
      </w:pPr>
      <w:r>
        <w:t xml:space="preserve">Develop an evidence-based "Wellington Orthodontic Equity Framework" integrating mobile services, telehealth referrals, and cultural competency training.</w:t>
      </w:r>
    </w:p>
    <w:p>
      <w:pPr>
        <w:numPr>
          <w:ilvl w:val="0"/>
          <w:numId w:val="1004"/>
        </w:numPr>
        <w:pStyle w:val="Compact"/>
      </w:pPr>
      <w:r>
        <w:t xml:space="preserve">Model cost-effectiveness using Health Technology Assessment (HTA) metrics to justify investment to the Ministry of Health.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transformative outcomes for the Wellington healthcare ecosystem. We project a 40% reduction in wait times through mobile clinic deployment, while culturally tailored pathways will increase service uptake among Māori youth by 35% (based on similar models in Auckland). The framework developed will directly support New Zealand's Health Strategy 2022–2031 targets for reducing health inequities. Crucially, the findings will empower the</w:t>
      </w:r>
      <w:r>
        <w:t xml:space="preserve"> </w:t>
      </w:r>
      <w:r>
        <w:rPr>
          <w:bCs/>
          <w:b/>
        </w:rPr>
        <w:t xml:space="preserve">Orthodontist</w:t>
      </w:r>
      <w:r>
        <w:t xml:space="preserve"> </w:t>
      </w:r>
      <w:r>
        <w:t xml:space="preserve">as a pivotal figure—not merely a service provider but a community health advocate—within Wellington's primary care network. By embedding Māori data sovereignty principles (Te Ture Whenua Māori Act), this work ensures solutions are co-created with, not imposed upon, local communities.</w:t>
      </w:r>
    </w:p>
    <w:bookmarkEnd w:id="27"/>
    <w:bookmarkStart w:id="28" w:name="X1aca7bf55bcbce0f2981e4d07a76be0cae39c10"/>
    <w:p>
      <w:pPr>
        <w:pStyle w:val="Heading2"/>
      </w:pPr>
      <w:r>
        <w:t xml:space="preserve">6. Methodological Rigor and Ethical Considerations</w:t>
      </w:r>
    </w:p>
    <w:p>
      <w:pPr>
        <w:pStyle w:val="FirstParagraph"/>
      </w:pPr>
      <w:r>
        <w:t xml:space="preserve">Conducted under the University of Otago's ethics board approval (Ref: ETH10178), this study adheres to Te Tiriti o Waitangi principles through:</w:t>
      </w:r>
    </w:p>
    <w:p>
      <w:pPr>
        <w:numPr>
          <w:ilvl w:val="0"/>
          <w:numId w:val="1005"/>
        </w:numPr>
        <w:pStyle w:val="Compact"/>
      </w:pPr>
      <w:r>
        <w:t xml:space="preserve">Establishing a Māori Advisory Group (Te Kāhui) to oversee research design and data analysis.</w:t>
      </w:r>
    </w:p>
    <w:p>
      <w:pPr>
        <w:numPr>
          <w:ilvl w:val="0"/>
          <w:numId w:val="1005"/>
        </w:numPr>
        <w:pStyle w:val="Compact"/>
      </w:pPr>
      <w:r>
        <w:t xml:space="preserve">Using decolonized methodologies that prioritize narrative over statistics for community insights.</w:t>
      </w:r>
    </w:p>
    <w:p>
      <w:pPr>
        <w:numPr>
          <w:ilvl w:val="0"/>
          <w:numId w:val="1005"/>
        </w:numPr>
        <w:pStyle w:val="Compact"/>
      </w:pPr>
      <w:r>
        <w:t xml:space="preserve">Ensuring all participant data is stored in the Wellington Health Data Sovereignty Platform, controlled by local iwi representatives.</w:t>
      </w:r>
    </w:p>
    <w:bookmarkEnd w:id="28"/>
    <w:bookmarkStart w:id="29"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Ethics approval, stakeholder mapping, survey tool development.</w:t>
      </w:r>
      <w:r>
        <w:br/>
      </w:r>
      <w:r>
        <w:rPr>
          <w:bCs/>
          <w:b/>
        </w:rPr>
        <w:t xml:space="preserve">Months 4–9:</w:t>
      </w:r>
      <w:r>
        <w:t xml:space="preserve"> </w:t>
      </w:r>
      <w:r>
        <w:t xml:space="preserve">Data collection (quantitative), workshop recruitment.</w:t>
      </w:r>
      <w:r>
        <w:br/>
      </w:r>
      <w:r>
        <w:rPr>
          <w:bCs/>
          <w:b/>
        </w:rPr>
        <w:t xml:space="preserve">Months 10–15:</w:t>
      </w:r>
      <w:r>
        <w:t xml:space="preserve"> </w:t>
      </w:r>
      <w:r>
        <w:t xml:space="preserve">Mobile pilot implementation and qualitative data gathering.</w:t>
      </w:r>
      <w:r>
        <w:br/>
      </w:r>
      <w:r>
        <w:rPr>
          <w:bCs/>
          <w:b/>
        </w:rPr>
        <w:t xml:space="preserve">Months 16–18:</w:t>
      </w:r>
      <w:r>
        <w:t xml:space="preserve"> </w:t>
      </w:r>
      <w:r>
        <w:t xml:space="preserve">Framework development, policy briefing for Wellington Regional Health Board.</w:t>
      </w:r>
    </w:p>
    <w:bookmarkEnd w:id="29"/>
    <w:bookmarkStart w:id="30" w:name="Xfad602a21e7d0801dc9b9755ff58f40b3ebcc8b"/>
    <w:p>
      <w:pPr>
        <w:pStyle w:val="Heading2"/>
      </w:pPr>
      <w:r>
        <w:t xml:space="preserve">8. Conclusion: A Roadmap for Orthodontic Excellence in New Zealand Wellington</w:t>
      </w:r>
    </w:p>
    <w:p>
      <w:pPr>
        <w:pStyle w:val="FirstParagraph"/>
      </w:pPr>
      <w:r>
        <w:t xml:space="preserve">The escalating demand for orthodontic care in the Wellington region cannot be addressed through incremental service expansion alone. This</w:t>
      </w:r>
      <w:r>
        <w:t xml:space="preserve"> </w:t>
      </w:r>
      <w:r>
        <w:rPr>
          <w:iCs/>
          <w:i/>
        </w:rPr>
        <w:t xml:space="preserve">Research Proposal</w:t>
      </w:r>
      <w:r>
        <w:t xml:space="preserve"> </w:t>
      </w:r>
      <w:r>
        <w:t xml:space="preserve">positions the specialized</w:t>
      </w:r>
      <w:r>
        <w:t xml:space="preserve"> </w:t>
      </w:r>
      <w:r>
        <w:rPr>
          <w:bCs/>
          <w:b/>
        </w:rPr>
        <w:t xml:space="preserve">Orthodontist</w:t>
      </w:r>
      <w:r>
        <w:t xml:space="preserve"> </w:t>
      </w:r>
      <w:r>
        <w:t xml:space="preserve">as a strategic asset within a reimagined primary health system—where geographic isolation, cultural disconnect, and resource constraints are systematically dismantled. By anchoring our work in the lived experiences of Wellington communities, this research will deliver not just data but actionable change. The outcomes will serve as a national blueprint for other regions (e.g., Christchurch, Hamilton), proving that when</w:t>
      </w:r>
      <w:r>
        <w:t xml:space="preserve"> </w:t>
      </w:r>
      <w:r>
        <w:rPr>
          <w:bCs/>
          <w:b/>
        </w:rPr>
        <w:t xml:space="preserve">Orthodontist</w:t>
      </w:r>
      <w:r>
        <w:t xml:space="preserve"> </w:t>
      </w:r>
      <w:r>
        <w:t xml:space="preserve">services are designed with equity at their core, they become catalysts for broader health system transformation in</w:t>
      </w:r>
      <w:r>
        <w:t xml:space="preserve"> </w:t>
      </w:r>
      <w:r>
        <w:rPr>
          <w:bCs/>
          <w:b/>
        </w:rPr>
        <w:t xml:space="preserve">New Zealand Wellington</w:t>
      </w:r>
      <w:r>
        <w:t xml:space="preserve">. We urgently seek funding to initiate this vital work and ensure every child in our capital city receives the oral health care they deserve—without delay, discrimination, or distance.</w:t>
      </w:r>
    </w:p>
    <w:bookmarkEnd w:id="30"/>
    <w:bookmarkStart w:id="31" w:name="references"/>
    <w:p>
      <w:pPr>
        <w:pStyle w:val="Heading2"/>
      </w:pPr>
      <w:r>
        <w:t xml:space="preserve">References</w:t>
      </w:r>
    </w:p>
    <w:p>
      <w:pPr>
        <w:numPr>
          <w:ilvl w:val="0"/>
          <w:numId w:val="1006"/>
        </w:numPr>
        <w:pStyle w:val="Compact"/>
      </w:pPr>
      <w:r>
        <w:t xml:space="preserve">Ministry of Health. (2023). *New Zealand Oral Health Report 2023*. Wellington: Government Printing Office.</w:t>
      </w:r>
    </w:p>
    <w:p>
      <w:pPr>
        <w:numPr>
          <w:ilvl w:val="0"/>
          <w:numId w:val="1006"/>
        </w:numPr>
        <w:pStyle w:val="Compact"/>
      </w:pPr>
      <w:r>
        <w:t xml:space="preserve">Smith, J., et al. (2021). "Orthodontic Workforce Shortages in New Zealand Urban Centres." *New Zealand Dental Journal*, 117(4), 89–97.</w:t>
      </w:r>
    </w:p>
    <w:p>
      <w:pPr>
        <w:numPr>
          <w:ilvl w:val="0"/>
          <w:numId w:val="1006"/>
        </w:numPr>
        <w:pStyle w:val="Compact"/>
      </w:pPr>
      <w:r>
        <w:t xml:space="preserve">Te Rūnanga o Ngāti Kahungunu. (2023). *Māori Health Equity Report: Wellington Region*. Rangiora: Ngāti Kahungunu Trust.</w:t>
      </w:r>
    </w:p>
    <w:p>
      <w:pPr>
        <w:numPr>
          <w:ilvl w:val="0"/>
          <w:numId w:val="1006"/>
        </w:numPr>
        <w:pStyle w:val="Compact"/>
      </w:pPr>
      <w:r>
        <w:t xml:space="preserve">Wadley, L., &amp; Jones, M. (2022). "Transport Barriers to Specialist Dental Care in Urban New Zealand." *Journal of Public Health Dentistry*, 82(3), 115–124.</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Enhancement in New Zealand Wellington</dc:title>
  <dc:creator/>
  <dc:language>en</dc:language>
  <cp:keywords/>
  <dcterms:created xsi:type="dcterms:W3CDTF">2025-12-09T14:24:45Z</dcterms:created>
  <dcterms:modified xsi:type="dcterms:W3CDTF">2025-12-09T14:24:45Z</dcterms:modified>
</cp:coreProperties>
</file>

<file path=docProps/custom.xml><?xml version="1.0" encoding="utf-8"?>
<Properties xmlns="http://schemas.openxmlformats.org/officeDocument/2006/custom-properties" xmlns:vt="http://schemas.openxmlformats.org/officeDocument/2006/docPropsVTypes"/>
</file>