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Services</w:t>
      </w:r>
      <w:r>
        <w:t xml:space="preserve"> </w:t>
      </w:r>
      <w:r>
        <w:t xml:space="preserve">Accessibility</w:t>
      </w:r>
      <w:r>
        <w:t xml:space="preserve"> </w:t>
      </w:r>
      <w:r>
        <w:t xml:space="preserve">in</w:t>
      </w:r>
      <w:r>
        <w:t xml:space="preserve"> </w:t>
      </w:r>
      <w:r>
        <w:t xml:space="preserve">Nigeria</w:t>
      </w:r>
      <w:r>
        <w:t xml:space="preserve"> </w:t>
      </w:r>
      <w:r>
        <w:t xml:space="preserve">Abuja</w:t>
      </w:r>
    </w:p>
    <w:bookmarkStart w:id="30" w:name="Xa76f480d79fec4d098391e8e42d145577686f8e"/>
    <w:p>
      <w:pPr>
        <w:pStyle w:val="Heading1"/>
      </w:pPr>
      <w:r>
        <w:t xml:space="preserve">Research Proposal: Assessing the Accessibility and Quality of Orthodontic Services in Nigeria Abuja</w:t>
      </w:r>
    </w:p>
    <w:bookmarkStart w:id="20" w:name="introduction"/>
    <w:p>
      <w:pPr>
        <w:pStyle w:val="Heading2"/>
      </w:pPr>
      <w:r>
        <w:t xml:space="preserve">1. Introduction</w:t>
      </w:r>
    </w:p>
    <w:p>
      <w:pPr>
        <w:pStyle w:val="FirstParagraph"/>
      </w:pPr>
      <w:r>
        <w:t xml:space="preserve">The field of orthodontics plays a critical role in enhancing oral health, facial aesthetics, and overall quality of life. In Nigeria Abuja—the Federal Capital Territory (FCT) serving as the nation's political and administrative hub—access to specialized dental care remains unevenly distributed. Despite being a cosmopolitan city with numerous healthcare facilities, a significant gap persists in orthodontic services, particularly for underprivileged populations. This</w:t>
      </w:r>
      <w:r>
        <w:t xml:space="preserve"> </w:t>
      </w:r>
      <w:r>
        <w:rPr>
          <w:iCs/>
          <w:i/>
        </w:rPr>
        <w:t xml:space="preserve">Research Proposal</w:t>
      </w:r>
      <w:r>
        <w:t xml:space="preserve"> </w:t>
      </w:r>
      <w:r>
        <w:t xml:space="preserve">addresses the urgent need to evaluate the current state of orthodontic practice in Nigeria Abuja, focusing on accessibility, affordability, and quality of care. As an emerging specialty within Nigerian dentistry, understanding the unique challenges faced by an</w:t>
      </w:r>
      <w:r>
        <w:t xml:space="preserve"> </w:t>
      </w:r>
      <w:r>
        <w:rPr>
          <w:iCs/>
          <w:i/>
        </w:rPr>
        <w:t xml:space="preserve">Orthodontist</w:t>
      </w:r>
      <w:r>
        <w:t xml:space="preserve"> </w:t>
      </w:r>
      <w:r>
        <w:t xml:space="preserve">in this context is vital for shaping future healthcare policy and resource allocation.</w:t>
      </w:r>
    </w:p>
    <w:bookmarkEnd w:id="20"/>
    <w:bookmarkStart w:id="21" w:name="problem-statement"/>
    <w:p>
      <w:pPr>
        <w:pStyle w:val="Heading2"/>
      </w:pPr>
      <w:r>
        <w:t xml:space="preserve">2. Problem Statement</w:t>
      </w:r>
    </w:p>
    <w:p>
      <w:pPr>
        <w:pStyle w:val="FirstParagraph"/>
      </w:pPr>
      <w:r>
        <w:t xml:space="preserve">Nigeria Abuja faces a critical shortage of certified orthodontists relative to population needs. According to the Nigerian Dental Association (NDA), less than 0.5% of Nigeria's dental practitioners are specialized orthodontists, with the majority concentrated in Lagos and Abuja. In Abuja, where over 3 million residents reside, only an estimated 15–20 certified Orthodontists operate across private clinics and tertiary hospitals—a ratio insufficient to meet demand. This scarcity is compounded by high treatment costs (averaging ₦150,000–₦850,000 per case), inadequate insurance coverage for orthodontic care, and low public awareness of treatment options. Consequently, children and adolescents from low-income families frequently experience prolonged malocclusion issues that impact speech development, self-esteem, and academic performance. The absence of comprehensive data on service delivery in Nigeria Abuja exacerbates the challenge of designing targeted interventions.</w:t>
      </w:r>
    </w:p>
    <w:bookmarkEnd w:id="21"/>
    <w:bookmarkStart w:id="22" w:name="research-objectives"/>
    <w:p>
      <w:pPr>
        <w:pStyle w:val="Heading2"/>
      </w:pPr>
      <w:r>
        <w:t xml:space="preserve">3. Research Objectives</w:t>
      </w:r>
    </w:p>
    <w:p>
      <w:pPr>
        <w:numPr>
          <w:ilvl w:val="0"/>
          <w:numId w:val="1001"/>
        </w:numPr>
        <w:pStyle w:val="Compact"/>
      </w:pPr>
      <w:r>
        <w:t xml:space="preserve">To assess the geographical distribution and capacity of orthodontic services across Abuja’s public and private healthcare sectors.</w:t>
      </w:r>
    </w:p>
    <w:p>
      <w:pPr>
        <w:numPr>
          <w:ilvl w:val="0"/>
          <w:numId w:val="1001"/>
        </w:numPr>
        <w:pStyle w:val="Compact"/>
      </w:pPr>
      <w:r>
        <w:t xml:space="preserve">To evaluate patient accessibility factors, including cost, transportation barriers, and cultural perceptions of orthodontic treatment.</w:t>
      </w:r>
    </w:p>
    <w:p>
      <w:pPr>
        <w:numPr>
          <w:ilvl w:val="0"/>
          <w:numId w:val="1001"/>
        </w:numPr>
        <w:pStyle w:val="Compact"/>
      </w:pPr>
      <w:r>
        <w:t xml:space="preserve">To analyze the clinical standards practiced by Orthodontists in Nigeria Abuja relative to international guidelines (e.g., AAO standards).</w:t>
      </w:r>
    </w:p>
    <w:p>
      <w:pPr>
        <w:numPr>
          <w:ilvl w:val="0"/>
          <w:numId w:val="1001"/>
        </w:numPr>
        <w:pStyle w:val="Compact"/>
      </w:pPr>
      <w:r>
        <w:t xml:space="preserve">To identify policy gaps hindering equitable access to orthodontic care in the FCT.</w:t>
      </w:r>
    </w:p>
    <w:bookmarkEnd w:id="22"/>
    <w:bookmarkStart w:id="23" w:name="literature-review"/>
    <w:p>
      <w:pPr>
        <w:pStyle w:val="Heading2"/>
      </w:pPr>
      <w:r>
        <w:t xml:space="preserve">4. Literature Review</w:t>
      </w:r>
    </w:p>
    <w:p>
      <w:pPr>
        <w:pStyle w:val="FirstParagraph"/>
      </w:pPr>
      <w:r>
        <w:t xml:space="preserve">Existing studies on Nigerian dentistry emphasize systemic underfunding and workforce maldistribution. A 2021 study in the *African Journal of Dental Science* noted that orthodontic services are predominantly accessible only to urban elites, with rural areas entirely underserved. In Abuja, research by the University of Abuja (2020) revealed that 78% of adolescents with moderate-to-severe malocclusion had not received treatment due to cost. Conversely, a positive trend emerged in Abuja’s tertiary hospitals (e.g., USM Hospital), where orthodontic departments are expanding through partnerships with international dental NGOs. However, these efforts remain fragmented and lack scalability. This research will build on such findings by providing a granular analysis specific to Nigeria Abuja’s urban context, filling a critical void in regional healthcare literature.</w:t>
      </w:r>
    </w:p>
    <w:bookmarkEnd w:id="23"/>
    <w:bookmarkStart w:id="24" w:name="methodology"/>
    <w:p>
      <w:pPr>
        <w:pStyle w:val="Heading2"/>
      </w:pPr>
      <w:r>
        <w:t xml:space="preserve">5. Methodology</w:t>
      </w:r>
    </w:p>
    <w:p>
      <w:pPr>
        <w:pStyle w:val="FirstParagraph"/>
      </w:pPr>
      <w:r>
        <w:t xml:space="preserve">This mixed-methods study will employ quantitative and qualitative approaches over 18 months:</w:t>
      </w:r>
    </w:p>
    <w:p>
      <w:pPr>
        <w:numPr>
          <w:ilvl w:val="0"/>
          <w:numId w:val="1002"/>
        </w:numPr>
        <w:pStyle w:val="Compact"/>
      </w:pPr>
      <w:r>
        <w:rPr>
          <w:bCs/>
          <w:b/>
        </w:rPr>
        <w:t xml:space="preserve">Phase 1: Quantitative Survey</w:t>
      </w:r>
      <w:r>
        <w:t xml:space="preserve"> </w:t>
      </w:r>
      <w:r>
        <w:t xml:space="preserve">(Months 1–6) – A stratified random sampling of 300 patients from Abuja’s public hospitals (e.g., Garki Hospital, ABU Teaching Hospital) and private clinics. Data will include demographics, treatment costs, wait times, and perceived quality.</w:t>
      </w:r>
    </w:p>
    <w:p>
      <w:pPr>
        <w:numPr>
          <w:ilvl w:val="0"/>
          <w:numId w:val="1002"/>
        </w:numPr>
        <w:pStyle w:val="Compact"/>
      </w:pPr>
      <w:r>
        <w:rPr>
          <w:bCs/>
          <w:b/>
        </w:rPr>
        <w:t xml:space="preserve">Phase 2: Orthodontist Interviews</w:t>
      </w:r>
      <w:r>
        <w:t xml:space="preserve"> </w:t>
      </w:r>
      <w:r>
        <w:t xml:space="preserve">(Months 7–10) – In-depth interviews with 30 certified Orthodontists across Abuja to explore clinical challenges, resource constraints, and professional development needs.</w:t>
      </w:r>
    </w:p>
    <w:p>
      <w:pPr>
        <w:numPr>
          <w:ilvl w:val="0"/>
          <w:numId w:val="1002"/>
        </w:numPr>
        <w:pStyle w:val="Compact"/>
      </w:pPr>
      <w:r>
        <w:rPr>
          <w:bCs/>
          <w:b/>
        </w:rPr>
        <w:t xml:space="preserve">Phase 3: Policy Analysis</w:t>
      </w:r>
      <w:r>
        <w:t xml:space="preserve"> </w:t>
      </w:r>
      <w:r>
        <w:t xml:space="preserve">(Months 11–14) – Review of Nigeria’s National Health Insurance Scheme (NHIS) coverage policies and FCT Ministry of Health guidelines regarding orthodontic services.</w:t>
      </w:r>
    </w:p>
    <w:p>
      <w:pPr>
        <w:numPr>
          <w:ilvl w:val="0"/>
          <w:numId w:val="1002"/>
        </w:numPr>
        <w:pStyle w:val="Compact"/>
      </w:pPr>
      <w:r>
        <w:rPr>
          <w:bCs/>
          <w:b/>
        </w:rPr>
        <w:t xml:space="preserve">Phase 4: Community Focus Groups</w:t>
      </w:r>
      <w:r>
        <w:t xml:space="preserve"> </w:t>
      </w:r>
      <w:r>
        <w:t xml:space="preserve">(Months 15–18) – Six focus groups with parents/caregivers from low-income communities to assess cultural barriers and service preferences.</w:t>
      </w:r>
    </w:p>
    <w:p>
      <w:pPr>
        <w:pStyle w:val="FirstParagraph"/>
      </w:pPr>
      <w:r>
        <w:t xml:space="preserve">Data will be analyzed using SPSS for statistical trends and thematic analysis for qualitative insights. Ethical approval will be sought from the Abuja National Health Research Ethics Committee (NHREC).</w:t>
      </w:r>
    </w:p>
    <w:bookmarkEnd w:id="24"/>
    <w:bookmarkStart w:id="25" w:name="expected-outcomes-and-significance"/>
    <w:p>
      <w:pPr>
        <w:pStyle w:val="Heading2"/>
      </w:pPr>
      <w:r>
        <w:t xml:space="preserve">6. Expected Outcomes and Significance</w:t>
      </w:r>
    </w:p>
    <w:p>
      <w:pPr>
        <w:pStyle w:val="FirstParagraph"/>
      </w:pPr>
      <w:r>
        <w:t xml:space="preserve">This study anticipates three transformative outcomes: First, a geospatial map identifying "orthodontic deserts" within Abuja to guide resource deployment. Second, evidence-based policy recommendations for the FCT Ministry of Health to integrate orthodontics into primary dental care under NHIS. Third, a framework for sustainable training programs to increase Nigeria’s orthodontist workforce. The significance extends beyond Abuja: findings will inform national strategies under Nigeria’s</w:t>
      </w:r>
      <w:r>
        <w:t xml:space="preserve"> </w:t>
      </w:r>
      <w:r>
        <w:rPr>
          <w:iCs/>
          <w:i/>
        </w:rPr>
        <w:t xml:space="preserve">National Dental Health Policy (2023–2030)</w:t>
      </w:r>
      <w:r>
        <w:t xml:space="preserve">, potentially reducing oral health disparities across the country. For the Orthodontist profession in Nigeria, this research elevates visibility of their role in holistic healthcare and advocates for standardized training curricula aligned with global best practices.</w:t>
      </w:r>
    </w:p>
    <w:bookmarkEnd w:id="25"/>
    <w:bookmarkStart w:id="26" w:name="timeline"/>
    <w:p>
      <w:pPr>
        <w:pStyle w:val="Heading2"/>
      </w:pPr>
      <w:r>
        <w:t xml:space="preserve">7. Timeline</w:t>
      </w:r>
    </w:p>
    <w:p>
      <w:pPr>
        <w:pStyle w:val="FirstParagraph"/>
      </w:pPr>
      <w:r>
        <w:t xml:space="preserve">Activity</w:t>
      </w:r>
    </w:p>
    <w:p>
      <w:pPr>
        <w:pStyle w:val="BodyText"/>
      </w:pPr>
      <w:r>
        <w:t xml:space="preserve">Duration</w:t>
      </w:r>
    </w:p>
    <w:p>
      <w:pPr>
        <w:pStyle w:val="BodyText"/>
      </w:pPr>
      <w:r>
        <w:t xml:space="preserve">Literature Review &amp; Protocol Finalization</w:t>
      </w:r>
    </w:p>
    <w:p>
      <w:pPr>
        <w:pStyle w:val="BodyText"/>
      </w:pPr>
      <w:r>
        <w:t xml:space="preserve">Month 1–2</w:t>
      </w:r>
    </w:p>
    <w:p>
      <w:pPr>
        <w:pStyle w:val="BodyText"/>
      </w:pPr>
      <w:r>
        <w:t xml:space="preserve">Participant Recruitment &amp; Quantitative Survey</w:t>
      </w:r>
    </w:p>
    <w:p>
      <w:pPr>
        <w:pStyle w:val="BodyText"/>
      </w:pPr>
      <w:r>
        <w:t xml:space="preserve">Months 3–6</w:t>
      </w:r>
    </w:p>
    <w:p>
      <w:pPr>
        <w:pStyle w:val="BodyText"/>
      </w:pPr>
      <w:r>
        <w:t xml:space="preserve">Orthodontist Interviews &amp; Policy Analysis</w:t>
      </w:r>
    </w:p>
    <w:p>
      <w:pPr>
        <w:pStyle w:val="BodyText"/>
      </w:pPr>
      <w:r>
        <w:t xml:space="preserve">Months 7–14</w:t>
      </w:r>
    </w:p>
    <w:p>
      <w:pPr>
        <w:pStyle w:val="BodyText"/>
      </w:pPr>
      <w:r>
        <w:t xml:space="preserve">Community Focus Groups &amp; Data Synthesis</w:t>
      </w:r>
    </w:p>
    <w:p>
      <w:pPr>
        <w:pStyle w:val="BodyText"/>
      </w:pPr>
      <w:r>
        <w:t xml:space="preserve">Months 15–16</w:t>
      </w:r>
    </w:p>
    <w:p>
      <w:pPr>
        <w:pStyle w:val="BodyText"/>
      </w:pPr>
      <w:r>
        <w:t xml:space="preserve">Report Writing &amp; Policy Briefing</w:t>
      </w:r>
    </w:p>
    <w:p>
      <w:pPr>
        <w:pStyle w:val="BodyText"/>
      </w:pPr>
      <w:r>
        <w:t xml:space="preserve">Total: 18 Months</w:t>
      </w:r>
    </w:p>
    <w:bookmarkEnd w:id="26"/>
    <w:bookmarkStart w:id="27" w:name="budget-overview-summary"/>
    <w:p>
      <w:pPr>
        <w:pStyle w:val="Heading2"/>
      </w:pPr>
      <w:r>
        <w:t xml:space="preserve">8. Budget Overview (Summary)</w:t>
      </w:r>
    </w:p>
    <w:p>
      <w:pPr>
        <w:pStyle w:val="FirstParagraph"/>
      </w:pPr>
      <w:r>
        <w:t xml:space="preserve">Total requested funding: ₦14,500,000 (≈$15,500 USD). Key allocations include:</w:t>
      </w:r>
    </w:p>
    <w:p>
      <w:pPr>
        <w:numPr>
          <w:ilvl w:val="0"/>
          <w:numId w:val="1003"/>
        </w:numPr>
        <w:pStyle w:val="Compact"/>
      </w:pPr>
      <w:r>
        <w:t xml:space="preserve">Fieldwork (surveys/interviews): ₦7.2M</w:t>
      </w:r>
    </w:p>
    <w:p>
      <w:pPr>
        <w:numPr>
          <w:ilvl w:val="0"/>
          <w:numId w:val="1003"/>
        </w:numPr>
        <w:pStyle w:val="Compact"/>
      </w:pPr>
      <w:r>
        <w:t xml:space="preserve">Staff/Researchers: ₦4.8M</w:t>
      </w:r>
    </w:p>
    <w:p>
      <w:pPr>
        <w:numPr>
          <w:ilvl w:val="0"/>
          <w:numId w:val="1003"/>
        </w:numPr>
        <w:pStyle w:val="Compact"/>
      </w:pPr>
      <w:r>
        <w:t xml:space="preserve">Data Analysis Software: ₦1.5M</w:t>
      </w:r>
    </w:p>
    <w:p>
      <w:pPr>
        <w:numPr>
          <w:ilvl w:val="0"/>
          <w:numId w:val="1003"/>
        </w:numPr>
        <w:pStyle w:val="Compact"/>
      </w:pPr>
      <w:r>
        <w:t xml:space="preserve">Community Engagement Workshops: ₦1.0M</w:t>
      </w:r>
    </w:p>
    <w:bookmarkEnd w:id="27"/>
    <w:bookmarkStart w:id="28" w:name="conclusion"/>
    <w:p>
      <w:pPr>
        <w:pStyle w:val="Heading2"/>
      </w:pPr>
      <w:r>
        <w:t xml:space="preserve">9. Conclusion</w:t>
      </w:r>
    </w:p>
    <w:p>
      <w:pPr>
        <w:pStyle w:val="FirstParagraph"/>
      </w:pPr>
      <w:r>
        <w:t xml:space="preserve">The scarcity of accessible orthodontic services in Nigeria Abuja represents a preventable public health inequity. This Research Proposal directly confronts the systemic barriers limiting care for children and youth in Africa’s fastest-growing capital city. By centering the voices of both patients and Orthodontists, this study will generate actionable evidence to catalyze investment, policy reform, and professional development within Nigeria’s dental healthcare ecosystem. The outcomes will not only transform oral health outcomes in Abuja but also serve as a blueprint for other Nigerian states striving to achieve Universal Health Coverage (UHC) targets. As the Federal Capital Territory emerges as a model for national healthcare innovation, addressing orthodontic gaps is an essential step toward holistic, equitable care in Nigeria Abuja.</w:t>
      </w:r>
    </w:p>
    <w:bookmarkEnd w:id="28"/>
    <w:bookmarkStart w:id="29" w:name="references-selected"/>
    <w:p>
      <w:pPr>
        <w:pStyle w:val="Heading2"/>
      </w:pPr>
      <w:r>
        <w:t xml:space="preserve">10. References (Selected)</w:t>
      </w:r>
    </w:p>
    <w:p>
      <w:pPr>
        <w:numPr>
          <w:ilvl w:val="0"/>
          <w:numId w:val="1004"/>
        </w:numPr>
        <w:pStyle w:val="Compact"/>
      </w:pPr>
      <w:r>
        <w:t xml:space="preserve">Nigerian Dental Association (NDA). (2023). *Orthodontic Workforce Report: National Trends*. Abuja: NDA Press.</w:t>
      </w:r>
    </w:p>
    <w:p>
      <w:pPr>
        <w:numPr>
          <w:ilvl w:val="0"/>
          <w:numId w:val="1004"/>
        </w:numPr>
        <w:pStyle w:val="Compact"/>
      </w:pPr>
      <w:r>
        <w:t xml:space="preserve">Okoro, C., et al. (2021). "Access to Orthodontic Care in Urban Nigeria."</w:t>
      </w:r>
      <w:r>
        <w:t xml:space="preserve"> </w:t>
      </w:r>
      <w:r>
        <w:rPr>
          <w:iCs/>
          <w:i/>
        </w:rPr>
        <w:t xml:space="preserve">African Journal of Dental Science</w:t>
      </w:r>
      <w:r>
        <w:t xml:space="preserve">, 19(4), 45–52.</w:t>
      </w:r>
    </w:p>
    <w:p>
      <w:pPr>
        <w:numPr>
          <w:ilvl w:val="0"/>
          <w:numId w:val="1004"/>
        </w:numPr>
        <w:pStyle w:val="Compact"/>
      </w:pPr>
      <w:r>
        <w:t xml:space="preserve">National Health Insurance Scheme (NHIS). (2023). *Coverage Guidelines for Specialized Dental Services*. Abuja: NHIS.</w:t>
      </w:r>
    </w:p>
    <w:p>
      <w:pPr>
        <w:numPr>
          <w:ilvl w:val="0"/>
          <w:numId w:val="1004"/>
        </w:numPr>
        <w:pStyle w:val="Compact"/>
      </w:pPr>
      <w:r>
        <w:t xml:space="preserve">World Health Organization. (2022). *Oral Health in Africa: A Regional Strategy*. Geneva: WHO.</w:t>
      </w:r>
    </w:p>
    <w:p>
      <w:pPr>
        <w:pStyle w:val="FirstParagraph"/>
      </w:pPr>
      <w:r>
        <w:rPr>
          <w:iCs/>
          <w:i/>
        </w:rPr>
        <w:t xml:space="preserve">This Research Proposal is submitted to the Federal Ministry of Health, Nigeria, and the National Universities Commission (NUC) for funding consideration under Priority Area 4: Oral Health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Services Accessibility in Nigeria Abuja</dc:title>
  <dc:creator/>
  <dc:language>en</dc:language>
  <cp:keywords/>
  <dcterms:created xsi:type="dcterms:W3CDTF">2025-12-12T12:37:47Z</dcterms:created>
  <dcterms:modified xsi:type="dcterms:W3CDTF">2025-12-12T12:37:47Z</dcterms:modified>
</cp:coreProperties>
</file>

<file path=docProps/custom.xml><?xml version="1.0" encoding="utf-8"?>
<Properties xmlns="http://schemas.openxmlformats.org/officeDocument/2006/custom-properties" xmlns:vt="http://schemas.openxmlformats.org/officeDocument/2006/docPropsVTypes"/>
</file>