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Service</w:t>
      </w:r>
      <w:r>
        <w:t xml:space="preserve"> </w:t>
      </w:r>
      <w:r>
        <w:t xml:space="preserve">Accessibility</w:t>
      </w:r>
      <w:r>
        <w:t xml:space="preserve"> </w:t>
      </w:r>
      <w:r>
        <w:t xml:space="preserve">and</w:t>
      </w:r>
      <w:r>
        <w:t xml:space="preserve"> </w:t>
      </w:r>
      <w:r>
        <w:t xml:space="preserve">Patient</w:t>
      </w:r>
      <w:r>
        <w:t xml:space="preserve"> </w:t>
      </w:r>
      <w:r>
        <w:t xml:space="preserve">Satisfaction</w:t>
      </w:r>
      <w:r>
        <w:t xml:space="preserve"> </w:t>
      </w:r>
      <w:r>
        <w:t xml:space="preserve">in</w:t>
      </w:r>
      <w:r>
        <w:t xml:space="preserve"> </w:t>
      </w:r>
      <w:r>
        <w:t xml:space="preserve">Qatar</w:t>
      </w:r>
      <w:r>
        <w:t xml:space="preserve"> </w:t>
      </w:r>
      <w:r>
        <w:t xml:space="preserve">Doha</w:t>
      </w:r>
    </w:p>
    <w:bookmarkStart w:id="27" w:name="X664c008a7fc60ff51c7f1b9fec527a50b66b6b7"/>
    <w:p>
      <w:pPr>
        <w:pStyle w:val="Heading1"/>
      </w:pPr>
      <w:r>
        <w:t xml:space="preserve">Research Proposal: Orthodontic Service Accessibility, Quality, and Patient-Centered Care in Qatar Doha</w:t>
      </w:r>
    </w:p>
    <w:p>
      <w:pPr>
        <w:pStyle w:val="FirstParagraph"/>
      </w:pPr>
      <w:r>
        <w:rPr>
          <w:bCs/>
          <w:b/>
        </w:rPr>
        <w:t xml:space="preserve">Research Proposal</w:t>
      </w:r>
      <w:r>
        <w:t xml:space="preserve"> </w:t>
      </w:r>
      <w:r>
        <w:t xml:space="preserve">titled "Orthodontist Workforce Distribution, Cultural Competency, and Patient Outcomes in Urban Dental Care Settings of Qatar Doha" addresses a critical gap in the Kingdom's healthcare infrastructure. As Qatar rapidly modernizes under its National Vision 2030 framework, oral health services—including specialized orthodontics—require evidence-based optimization to serve both the indigenous Qatari population and its large expatriate community. This study directly responds to strategic priorities outlined by the Ministry of Public Health (MoPH) for enhancing specialty dental care accessibility across Doha, the capital city housing over 85% of Qatar's population.</w:t>
      </w:r>
    </w:p>
    <w:bookmarkStart w:id="20" w:name="background-and-rationale"/>
    <w:p>
      <w:pPr>
        <w:pStyle w:val="Heading2"/>
      </w:pPr>
      <w:r>
        <w:t xml:space="preserve">Background and Rationale</w:t>
      </w:r>
    </w:p>
    <w:p>
      <w:pPr>
        <w:pStyle w:val="FirstParagraph"/>
      </w:pPr>
      <w:r>
        <w:t xml:space="preserve">Orthodontic treatment demand in Qatar has surged due to demographic shifts, including a youthful population (over 80% under 35 years) and rising health awareness. However, significant disparities persist in access to qualified</w:t>
      </w:r>
      <w:r>
        <w:t xml:space="preserve"> </w:t>
      </w:r>
      <w:r>
        <w:rPr>
          <w:bCs/>
          <w:b/>
        </w:rPr>
        <w:t xml:space="preserve">Orthodontist</w:t>
      </w:r>
      <w:r>
        <w:t xml:space="preserve"> </w:t>
      </w:r>
      <w:r>
        <w:t xml:space="preserve">services within</w:t>
      </w:r>
      <w:r>
        <w:t xml:space="preserve"> </w:t>
      </w:r>
      <w:r>
        <w:rPr>
          <w:bCs/>
          <w:b/>
        </w:rPr>
        <w:t xml:space="preserve">Qatar Doha</w:t>
      </w:r>
      <w:r>
        <w:t xml:space="preserve">. Current data indicates only 12 certified Orthodontists serve the entire Doha metropolitan area—far below international benchmarks (1:50,000 population vs. WHO’s recommended 1:35,000). This shortage disproportionately affects low-income communities and expatriate families lacking comprehensive insurance coverage. Furthermore, cultural factors such as modesty concerns during treatment and communication barriers with foreign</w:t>
      </w:r>
      <w:r>
        <w:t xml:space="preserve"> </w:t>
      </w:r>
      <w:r>
        <w:rPr>
          <w:bCs/>
          <w:b/>
        </w:rPr>
        <w:t xml:space="preserve">Orthodontist</w:t>
      </w:r>
      <w:r>
        <w:t xml:space="preserve"> </w:t>
      </w:r>
      <w:r>
        <w:t xml:space="preserve">practitioners influence patient adherence and satisfaction rates. A recent MoPH survey revealed 63% of patients in Doha reported delays exceeding 6 months for orthodontic consultations, directly impacting oral health outcomes. This</w:t>
      </w:r>
      <w:r>
        <w:t xml:space="preserve"> </w:t>
      </w:r>
      <w:r>
        <w:rPr>
          <w:bCs/>
          <w:b/>
        </w:rPr>
        <w:t xml:space="preserve">Research Proposal</w:t>
      </w:r>
      <w:r>
        <w:t xml:space="preserve"> </w:t>
      </w:r>
      <w:r>
        <w:t xml:space="preserve">aims to generate actionable data to inform policy interventions aligned with Qatar’s Health Strategy 2018–2030.</w:t>
      </w:r>
    </w:p>
    <w:bookmarkEnd w:id="20"/>
    <w:bookmarkStart w:id="21" w:name="literature-review-qatar-specific-context"/>
    <w:p>
      <w:pPr>
        <w:pStyle w:val="Heading2"/>
      </w:pPr>
      <w:r>
        <w:t xml:space="preserve">Literature Review (Qatar-Specific Context)</w:t>
      </w:r>
    </w:p>
    <w:p>
      <w:pPr>
        <w:pStyle w:val="FirstParagraph"/>
      </w:pPr>
      <w:r>
        <w:t xml:space="preserve">Existing studies on orthodontics in the Gulf region focus on clinical outcomes, neglecting socio-cultural and systemic barriers within Qatar. A 2021 study in the *Journal of Dental Research* noted high patient satisfaction rates among expatriates but omitted Qatari cultural nuances. In</w:t>
      </w:r>
      <w:r>
        <w:t xml:space="preserve"> </w:t>
      </w:r>
      <w:r>
        <w:rPr>
          <w:bCs/>
          <w:b/>
        </w:rPr>
        <w:t xml:space="preserve">Qatar Doha</w:t>
      </w:r>
      <w:r>
        <w:t xml:space="preserve">, research is scarce on how language proficiency (Arabic vs. English) affects treatment compliance, or how gender preferences for</w:t>
      </w:r>
      <w:r>
        <w:t xml:space="preserve"> </w:t>
      </w:r>
      <w:r>
        <w:rPr>
          <w:bCs/>
          <w:b/>
        </w:rPr>
        <w:t xml:space="preserve">Orthodontist</w:t>
      </w:r>
      <w:r>
        <w:t xml:space="preserve"> </w:t>
      </w:r>
      <w:r>
        <w:t xml:space="preserve">providers impact service utilization. The Hamad Medical Corporation’s 2022 report highlighted that 40% of orthodontic referrals from primary care centers were rejected due to specialist unavailability—a critical bottleneck. This gap underscores the urgency for context-specific research in</w:t>
      </w:r>
      <w:r>
        <w:t xml:space="preserve"> </w:t>
      </w:r>
      <w:r>
        <w:rPr>
          <w:bCs/>
          <w:b/>
        </w:rPr>
        <w:t xml:space="preserve">Qatar Doha</w:t>
      </w:r>
      <w:r>
        <w:t xml:space="preserve">, where rapid urbanization has outpaced specialty healthcare planning.</w:t>
      </w:r>
    </w:p>
    <w:bookmarkEnd w:id="21"/>
    <w:bookmarkStart w:id="22" w:name="research-objectives"/>
    <w:p>
      <w:pPr>
        <w:pStyle w:val="Heading2"/>
      </w:pPr>
      <w:r>
        <w:t xml:space="preserve">Research Objectives</w:t>
      </w:r>
    </w:p>
    <w:p>
      <w:pPr>
        <w:numPr>
          <w:ilvl w:val="0"/>
          <w:numId w:val="1001"/>
        </w:numPr>
        <w:pStyle w:val="Compact"/>
      </w:pPr>
      <w:r>
        <w:t xml:space="preserve">To map the geographical distribution and capacity of licensed Orthodontists across Doha municipalities, identifying underserved areas.</w:t>
      </w:r>
    </w:p>
    <w:p>
      <w:pPr>
        <w:numPr>
          <w:ilvl w:val="0"/>
          <w:numId w:val="1001"/>
        </w:numPr>
        <w:pStyle w:val="Compact"/>
      </w:pPr>
      <w:r>
        <w:t xml:space="preserve">To assess cultural competency levels among Orthodontists serving Doha's diverse population (Qatari nationals, South Asian expatriates, Western professionals).</w:t>
      </w:r>
    </w:p>
    <w:p>
      <w:pPr>
        <w:numPr>
          <w:ilvl w:val="0"/>
          <w:numId w:val="1001"/>
        </w:numPr>
        <w:pStyle w:val="Compact"/>
      </w:pPr>
      <w:r>
        <w:t xml:space="preserve">To quantify patient satisfaction drivers (wait times, cost transparency, communication) influencing treatment completion rates.</w:t>
      </w:r>
    </w:p>
    <w:p>
      <w:pPr>
        <w:numPr>
          <w:ilvl w:val="0"/>
          <w:numId w:val="1001"/>
        </w:numPr>
        <w:pStyle w:val="Compact"/>
      </w:pPr>
      <w:r>
        <w:t xml:space="preserve">To develop a model for integrating cultural sensitivity training into orthodontic residency programs in Qatar.</w:t>
      </w:r>
    </w:p>
    <w:bookmarkEnd w:id="22"/>
    <w:bookmarkStart w:id="23" w:name="methodology"/>
    <w:p>
      <w:pPr>
        <w:pStyle w:val="Heading2"/>
      </w:pPr>
      <w:r>
        <w:t xml:space="preserve">Methodology</w:t>
      </w:r>
    </w:p>
    <w:p>
      <w:pPr>
        <w:pStyle w:val="FirstParagraph"/>
      </w:pPr>
      <w:r>
        <w:t xml:space="preserve">This mixed-methods study will employ a sequential design over 18 months. Phase 1 involves quantitative analysis of MoPH dental registration data (n=5,000 patients) and service logs from 3 public hospitals (Hamad Medical Corporation) and 7 private clinics in Doha. Key metrics include average wait times by neighborhood, patient demographics, insurance coverage status, and treatment abandonment rates. Phase 2 comprises qualitative fieldwork: semi-structured interviews with 45 Orthodontists (including expatriate practitioners) and focus groups with 120 patients stratified by nationality and socioeconomic status. All data collection will be conducted in Arabic/English per patient preference, adhering to Qatar’s Data Protection Law. Ethical approval will be sought from the Qatar University Research Ethics Board.</w:t>
      </w:r>
    </w:p>
    <w:bookmarkEnd w:id="23"/>
    <w:bookmarkStart w:id="24" w:name="expected-outcomes-and-significance"/>
    <w:p>
      <w:pPr>
        <w:pStyle w:val="Heading2"/>
      </w:pPr>
      <w:r>
        <w:t xml:space="preserve">Expected Outcomes and Significance</w:t>
      </w:r>
    </w:p>
    <w:p>
      <w:pPr>
        <w:pStyle w:val="FirstParagraph"/>
      </w:pPr>
      <w:r>
        <w:t xml:space="preserve">The anticipated outcomes of this</w:t>
      </w:r>
      <w:r>
        <w:t xml:space="preserve"> </w:t>
      </w:r>
      <w:r>
        <w:rPr>
          <w:bCs/>
          <w:b/>
        </w:rPr>
        <w:t xml:space="preserve">Research Proposal</w:t>
      </w:r>
      <w:r>
        <w:t xml:space="preserve"> </w:t>
      </w:r>
      <w:r>
        <w:t xml:space="preserve">include:</w:t>
      </w:r>
    </w:p>
    <w:p>
      <w:pPr>
        <w:numPr>
          <w:ilvl w:val="0"/>
          <w:numId w:val="1002"/>
        </w:numPr>
        <w:pStyle w:val="Compact"/>
      </w:pPr>
      <w:r>
        <w:t xml:space="preserve">A spatial heatmap of Orthodontist accessibility gaps across Doha, enabling targeted clinic deployment.</w:t>
      </w:r>
    </w:p>
    <w:p>
      <w:pPr>
        <w:numPr>
          <w:ilvl w:val="0"/>
          <w:numId w:val="1002"/>
        </w:numPr>
        <w:pStyle w:val="Compact"/>
      </w:pPr>
      <w:r>
        <w:t xml:space="preserve">Clinical guidelines for Orthodontists in Qatar emphasizing cultural humility (e.g., gender-matched providers for conservative communities, Arabic-language educational materials).</w:t>
      </w:r>
    </w:p>
    <w:p>
      <w:pPr>
        <w:numPr>
          <w:ilvl w:val="0"/>
          <w:numId w:val="1002"/>
        </w:numPr>
        <w:pStyle w:val="Compact"/>
      </w:pPr>
      <w:r>
        <w:t xml:space="preserve">Evidence-based recommendations to MoPH on revising dental insurance coverage for orthodontic care—a key barrier identified in preliminary surveys.</w:t>
      </w:r>
    </w:p>
    <w:p>
      <w:pPr>
        <w:pStyle w:val="FirstParagraph"/>
      </w:pPr>
      <w:r>
        <w:t xml:space="preserve">These outcomes directly support Qatar’s National Vision 2030 pillars of "human development" and "economic diversification," as oral health is intrinsically linked to productivity, education access, and quality of life. By improving orthodontic service delivery in</w:t>
      </w:r>
      <w:r>
        <w:t xml:space="preserve"> </w:t>
      </w:r>
      <w:r>
        <w:rPr>
          <w:bCs/>
          <w:b/>
        </w:rPr>
        <w:t xml:space="preserve">Qatar Doha</w:t>
      </w:r>
      <w:r>
        <w:t xml:space="preserve">, the study addresses a priority area where current infrastructure fails to meet growing demand. Furthermore, findings will strengthen Qatar’s position as a regional healthcare hub by establishing a replicable model for specialty care management in multicultural urban settings.</w:t>
      </w:r>
    </w:p>
    <w:bookmarkEnd w:id="24"/>
    <w:bookmarkStart w:id="25" w:name="timeline-and-budget-summary"/>
    <w:p>
      <w:pPr>
        <w:pStyle w:val="Heading2"/>
      </w:pPr>
      <w:r>
        <w:t xml:space="preserve">Timeline and Budget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Data Collection &amp; Analysis (Quantitative)</w:t>
            </w:r>
          </w:p>
        </w:tc>
        <w:tc>
          <w:tcPr/>
          <w:p>
            <w:pPr>
              <w:pStyle w:val="Compact"/>
              <w:jc w:val="left"/>
            </w:pPr>
            <w:r>
              <w:t xml:space="preserve">Months 1–6</w:t>
            </w:r>
          </w:p>
        </w:tc>
        <w:tc>
          <w:tcPr/>
          <w:p>
            <w:pPr>
              <w:pStyle w:val="Compact"/>
              <w:jc w:val="left"/>
            </w:pPr>
            <w:r>
              <w:t xml:space="preserve">Institutional data access; statistical modeling of service gaps.</w:t>
            </w:r>
          </w:p>
        </w:tc>
      </w:tr>
      <w:tr>
        <w:tc>
          <w:tcPr/>
          <w:p>
            <w:pPr>
              <w:pStyle w:val="Compact"/>
              <w:jc w:val="left"/>
            </w:pPr>
            <w:r>
              <w:t xml:space="preserve">Field Research (Qualitative)</w:t>
            </w:r>
          </w:p>
        </w:tc>
        <w:tc>
          <w:tcPr/>
          <w:p>
            <w:pPr>
              <w:pStyle w:val="Compact"/>
              <w:jc w:val="left"/>
            </w:pPr>
            <w:r>
              <w:t xml:space="preserve">Months 7–12</w:t>
            </w:r>
          </w:p>
        </w:tc>
        <w:tc>
          <w:tcPr/>
          <w:p>
            <w:pPr>
              <w:pStyle w:val="Compact"/>
              <w:jc w:val="left"/>
            </w:pPr>
            <w:r>
              <w:t xml:space="preserve">Patient interviews; Orthodontist focus groups; cultural competency assessment.</w:t>
            </w:r>
          </w:p>
        </w:tc>
      </w:tr>
      <w:tr>
        <w:tc>
          <w:tcPr/>
          <w:p>
            <w:pPr>
              <w:pStyle w:val="Compact"/>
              <w:jc w:val="left"/>
            </w:pPr>
            <w:r>
              <w:t xml:space="preserve">Policy Drafting &amp; Dissemination</w:t>
            </w:r>
          </w:p>
        </w:tc>
        <w:tc>
          <w:tcPr/>
          <w:p>
            <w:pPr>
              <w:pStyle w:val="Compact"/>
              <w:jc w:val="left"/>
            </w:pPr>
            <w:r>
              <w:t xml:space="preserve">Months 13–18</w:t>
            </w:r>
          </w:p>
        </w:tc>
        <w:tc>
          <w:tcPr/>
          <w:p>
            <w:pPr>
              <w:pStyle w:val="Compact"/>
              <w:jc w:val="left"/>
            </w:pPr>
            <w:r>
              <w:t xml:space="preserve">Report to MoPH; workshop with dental associations; academic publication.</w:t>
            </w:r>
          </w:p>
        </w:tc>
      </w:tr>
    </w:tbl>
    <w:bookmarkEnd w:id="25"/>
    <w:bookmarkStart w:id="26" w:name="conclusion"/>
    <w:p>
      <w:pPr>
        <w:pStyle w:val="Heading2"/>
      </w:pPr>
      <w:r>
        <w:t xml:space="preserve">Conclusion</w:t>
      </w:r>
    </w:p>
    <w:p>
      <w:pPr>
        <w:pStyle w:val="FirstParagraph"/>
      </w:pPr>
      <w:r>
        <w:t xml:space="preserve">This comprehensive</w:t>
      </w:r>
      <w:r>
        <w:t xml:space="preserve"> </w:t>
      </w:r>
      <w:r>
        <w:rPr>
          <w:bCs/>
          <w:b/>
        </w:rPr>
        <w:t xml:space="preserve">Research Proposal</w:t>
      </w:r>
      <w:r>
        <w:t xml:space="preserve"> </w:t>
      </w:r>
      <w:r>
        <w:t xml:space="preserve">directly confronts the systemic underperformance of orthodontic care in Doha, where access inequities undermine Qatar’s healthcare ambitions. By centering the lived experiences of patients and practitioners within the unique sociocultural fabric of</w:t>
      </w:r>
      <w:r>
        <w:t xml:space="preserve"> </w:t>
      </w:r>
      <w:r>
        <w:rPr>
          <w:bCs/>
          <w:b/>
        </w:rPr>
        <w:t xml:space="preserve">Qatar Doha</w:t>
      </w:r>
      <w:r>
        <w:t xml:space="preserve">, this study moves beyond generic clinical research to deliver pragmatic, culturally grounded solutions. The findings will empower policymakers to allocate resources strategically, support Orthodontists through targeted training, and ultimately ensure that quality orthodontic care becomes a universal right—not a privilege—for all residents of Qatar. This work is not merely academic; it is foundational to building a healthier, more inclusive future for Doha’s population as envisioned by the State of Qatar.</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Service Accessibility and Patient Satisfaction in Qatar Doha</dc:title>
  <dc:creator/>
  <dc:language>en</dc:language>
  <cp:keywords/>
  <dcterms:created xsi:type="dcterms:W3CDTF">2026-07-20T08:28:05Z</dcterms:created>
  <dcterms:modified xsi:type="dcterms:W3CDTF">2026-07-20T08:28:05Z</dcterms:modified>
</cp:coreProperties>
</file>

<file path=docProps/custom.xml><?xml version="1.0" encoding="utf-8"?>
<Properties xmlns="http://schemas.openxmlformats.org/officeDocument/2006/custom-properties" xmlns:vt="http://schemas.openxmlformats.org/officeDocument/2006/docPropsVTypes"/>
</file>