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Moscow,</w:t>
      </w:r>
      <w:r>
        <w:t xml:space="preserve"> </w:t>
      </w:r>
      <w:r>
        <w:t xml:space="preserve">Russia</w:t>
      </w:r>
    </w:p>
    <w:bookmarkStart w:id="29" w:name="X87056ec88d76f31f05b089ef0318b57fce6b511"/>
    <w:p>
      <w:pPr>
        <w:pStyle w:val="Heading1"/>
      </w:pPr>
      <w:r>
        <w:t xml:space="preserve">Research Proposal: Advancing Orthodontic Services and Patient Outcomes in Moscow, Russia</w:t>
      </w:r>
    </w:p>
    <w:bookmarkStart w:id="20" w:name="abstract"/>
    <w:p>
      <w:pPr>
        <w:pStyle w:val="Heading2"/>
      </w:pPr>
      <w:r>
        <w:t xml:space="preserve">Abstract</w:t>
      </w:r>
    </w:p>
    <w:p>
      <w:pPr>
        <w:pStyle w:val="FirstParagraph"/>
      </w:pPr>
      <w:r>
        <w:t xml:space="preserve">This research proposal outlines a comprehensive study on the current state, challenges, and future directions of orthodontic practice within the urban healthcare landscape of Moscow, Russia. With rapid urbanization and growing middle-class demand for aesthetic dental care, Moscow represents a critical market for orthodontic innovation. The study aims to evaluate access to quality orthodontic services (provided by licensed Orthodontist specialists), assess technological adoption rates, analyze patient satisfaction across socioeconomic groups, and develop evidence-based recommendations tailored to the unique socio-economic and cultural context of Russia's capital city. Findings will directly inform policy development, clinical practice standards, and healthcare investment priorities for Orthodontists operating in Moscow.</w:t>
      </w:r>
    </w:p>
    <w:bookmarkEnd w:id="20"/>
    <w:bookmarkStart w:id="21" w:name="X2071fa8dbd3905ed76568c4e4f6100afe4c96b2"/>
    <w:p>
      <w:pPr>
        <w:pStyle w:val="Heading2"/>
      </w:pPr>
      <w:r>
        <w:t xml:space="preserve">1. Introduction: The Imperative for Orthodontic Research in Moscow</w:t>
      </w:r>
    </w:p>
    <w:p>
      <w:pPr>
        <w:pStyle w:val="FirstParagraph"/>
      </w:pPr>
      <w:r>
        <w:t xml:space="preserve">Moscow, as the political, economic, and cultural hub of Russia with a population exceeding 13 million people, faces significant unmet demand for specialized dental care. While general dentistry is widely available through public and private systems, access to skilled Orthodontist professionals remains uneven. The prevalence of malocclusion among Russian adolescents (estimated at 60-70% by the Russian Society of Orthodontists) highlights a substantial public health need. However, Moscow's orthodontic market is characterized by high costs (often exceeding monthly salaries for middle-income families), limited insurance coverage, and uneven distribution of specialists across districts. This research directly addresses these gaps within the specific context of Russia Moscow, aiming to provide actionable data for healthcare planners, clinic owners, and Orthodontist practitioners navigating this complex environment.</w:t>
      </w:r>
    </w:p>
    <w:bookmarkEnd w:id="21"/>
    <w:bookmarkStart w:id="22" w:name="X84a8df21256c77ed3279d41d848c5ba2ff7ba86"/>
    <w:p>
      <w:pPr>
        <w:pStyle w:val="Heading2"/>
      </w:pPr>
      <w:r>
        <w:t xml:space="preserve">2. Literature Review: Gaps in Russian Orthodontic Research</w:t>
      </w:r>
    </w:p>
    <w:p>
      <w:pPr>
        <w:pStyle w:val="FirstParagraph"/>
      </w:pPr>
      <w:r>
        <w:t xml:space="preserve">Existing literature on orthodontics in Russia is sparse and often outdated. Most studies focus on clinical techniques or epidemiological data at a national level, lacking granular analysis of Moscow-specific dynamics. Research from Moscow-based institutions (e.g., Russian State Dental University) typically addresses technical aspects but neglects socioeconomic barriers like cost, cultural perceptions of dental aesthetics, and the impact of Russia's unique healthcare financing system on Orthodontist practice. Crucially, there is minimal empirical work examining patient perspectives on care quality, treatment continuity, or the adoption of digital tools (e.g., intraoral scanners, clear aligners) within Moscow's private orthodontic clinics – a sector dominating high-demand urban markets. This study fills this critical void by centering Moscow as the primary research locale.</w:t>
      </w:r>
    </w:p>
    <w:bookmarkEnd w:id="22"/>
    <w:bookmarkStart w:id="23" w:name="research-objectives"/>
    <w:p>
      <w:pPr>
        <w:pStyle w:val="Heading2"/>
      </w:pPr>
      <w:r>
        <w:t xml:space="preserve">3. Research Objectives</w:t>
      </w:r>
    </w:p>
    <w:p>
      <w:pPr>
        <w:numPr>
          <w:ilvl w:val="0"/>
          <w:numId w:val="1001"/>
        </w:numPr>
        <w:pStyle w:val="Compact"/>
      </w:pPr>
      <w:r>
        <w:rPr>
          <w:bCs/>
          <w:b/>
        </w:rPr>
        <w:t xml:space="preserve">Evaluate Access &amp; Equity:</w:t>
      </w:r>
      <w:r>
        <w:t xml:space="preserve"> </w:t>
      </w:r>
      <w:r>
        <w:t xml:space="preserve">Quantify disparities in orthodontic service access (wait times, geographic distribution, cost barriers) among Moscow residents across different income brackets and districts.</w:t>
      </w:r>
    </w:p>
    <w:p>
      <w:pPr>
        <w:numPr>
          <w:ilvl w:val="0"/>
          <w:numId w:val="1001"/>
        </w:numPr>
        <w:pStyle w:val="Compact"/>
      </w:pPr>
      <w:r>
        <w:rPr>
          <w:bCs/>
          <w:b/>
        </w:rPr>
        <w:t xml:space="preserve">Analyze Technology &amp; Practice Patterns:</w:t>
      </w:r>
      <w:r>
        <w:t xml:space="preserve"> </w:t>
      </w:r>
      <w:r>
        <w:t xml:space="preserve">Document the adoption rates of modern orthodontic technologies (digital workflows, clear aligners, CAD/CAM fabrication) among Orthodontists operating in Moscow private clinics versus public sector initiatives.</w:t>
      </w:r>
    </w:p>
    <w:p>
      <w:pPr>
        <w:numPr>
          <w:ilvl w:val="0"/>
          <w:numId w:val="1001"/>
        </w:numPr>
        <w:pStyle w:val="Compact"/>
      </w:pPr>
      <w:r>
        <w:rPr>
          <w:bCs/>
          <w:b/>
        </w:rPr>
        <w:t xml:space="preserve">Assess Patient Experience &amp; Outcomes:</w:t>
      </w:r>
      <w:r>
        <w:t xml:space="preserve"> </w:t>
      </w:r>
      <w:r>
        <w:t xml:space="preserve">Measure patient satisfaction, perceived treatment value, and clinical outcomes (e.g., retention rates, complication incidence) based on surveys with diverse patient cohorts in Moscow.</w:t>
      </w:r>
    </w:p>
    <w:p>
      <w:pPr>
        <w:numPr>
          <w:ilvl w:val="0"/>
          <w:numId w:val="1001"/>
        </w:numPr>
        <w:pStyle w:val="Compact"/>
      </w:pPr>
      <w:r>
        <w:rPr>
          <w:bCs/>
          <w:b/>
        </w:rPr>
        <w:t xml:space="preserve">Develop Context-Specific Recommendations:</w:t>
      </w:r>
      <w:r>
        <w:t xml:space="preserve"> </w:t>
      </w:r>
      <w:r>
        <w:t xml:space="preserve">Create a practical framework for improving orthodontic care delivery in Russia Moscow for Orthodontist professionals, policymakers, and healthcare administrators.</w:t>
      </w:r>
    </w:p>
    <w:bookmarkEnd w:id="23"/>
    <w:bookmarkStart w:id="24" w:name="Xbf36e4377b8678f33cc139769f5fad05444c22b"/>
    <w:p>
      <w:pPr>
        <w:pStyle w:val="Heading2"/>
      </w:pPr>
      <w:r>
        <w:t xml:space="preserve">4. Methodology: A Mixed-Methods Approach for Moscow</w:t>
      </w:r>
    </w:p>
    <w:p>
      <w:pPr>
        <w:pStyle w:val="FirstParagraph"/>
      </w:pPr>
      <w:r>
        <w:t xml:space="preserve">This study employs a sequential mixed-methods design tailored to the Russian urban context:</w:t>
      </w:r>
    </w:p>
    <w:p>
      <w:pPr>
        <w:numPr>
          <w:ilvl w:val="0"/>
          <w:numId w:val="1002"/>
        </w:numPr>
        <w:pStyle w:val="Compact"/>
      </w:pPr>
      <w:r>
        <w:rPr>
          <w:bCs/>
          <w:b/>
        </w:rPr>
        <w:t xml:space="preserve">Phase 1 (Quantitative):</w:t>
      </w:r>
      <w:r>
        <w:t xml:space="preserve"> </w:t>
      </w:r>
      <w:r>
        <w:t xml:space="preserve">Stratified sampling across 5 major Moscow districts. Surveys distributed to 800 orthodontic patients (ages 12-35) regarding access, cost, satisfaction, and treatment history. Data from anonymized patient records (with ethical approval) at 20 private Orthodontist clinics in Moscow.</w:t>
      </w:r>
    </w:p>
    <w:p>
      <w:pPr>
        <w:numPr>
          <w:ilvl w:val="0"/>
          <w:numId w:val="1002"/>
        </w:numPr>
        <w:pStyle w:val="Compact"/>
      </w:pPr>
      <w:r>
        <w:rPr>
          <w:bCs/>
          <w:b/>
        </w:rPr>
        <w:t xml:space="preserve">Phase 2 (Qualitative):</w:t>
      </w:r>
      <w:r>
        <w:t xml:space="preserve"> </w:t>
      </w:r>
      <w:r>
        <w:t xml:space="preserve">In-depth interviews with 30 licensed Orthodontists practicing in Moscow public hospitals and private clinics, exploring challenges, technology adoption drivers/barriers, and perspectives on market evolution. Focus groups with 15 patient representatives from different socioeconomic backgrounds.</w:t>
      </w:r>
    </w:p>
    <w:p>
      <w:pPr>
        <w:numPr>
          <w:ilvl w:val="0"/>
          <w:numId w:val="1002"/>
        </w:numPr>
        <w:pStyle w:val="Compact"/>
      </w:pPr>
      <w:r>
        <w:rPr>
          <w:bCs/>
          <w:b/>
        </w:rPr>
        <w:t xml:space="preserve">Phase 3 (Analysis):</w:t>
      </w:r>
      <w:r>
        <w:t xml:space="preserve"> </w:t>
      </w:r>
      <w:r>
        <w:t xml:space="preserve">Statistical analysis of survey data (SPSS) combined with thematic analysis of interview transcripts using NVivo. Cross-referencing findings with Moscow-specific healthcare policy documents and Russian Dental Association reports to contextualize results.</w:t>
      </w:r>
    </w:p>
    <w:bookmarkEnd w:id="24"/>
    <w:bookmarkStart w:id="25" w:name="Xabe7fbef5b171d6634608fc78656e80a0ab0012"/>
    <w:p>
      <w:pPr>
        <w:pStyle w:val="Heading2"/>
      </w:pPr>
      <w:r>
        <w:t xml:space="preserve">5. Significance &amp; Expected Impact in Russia Moscow</w:t>
      </w:r>
    </w:p>
    <w:p>
      <w:pPr>
        <w:pStyle w:val="FirstParagraph"/>
      </w:pPr>
      <w:r>
        <w:t xml:space="preserve">This research holds significant potential for transforming orthodontic care delivery in Moscow, Russia's most dynamic dental market:</w:t>
      </w:r>
    </w:p>
    <w:p>
      <w:pPr>
        <w:numPr>
          <w:ilvl w:val="0"/>
          <w:numId w:val="1003"/>
        </w:numPr>
        <w:pStyle w:val="Compact"/>
      </w:pPr>
      <w:r>
        <w:rPr>
          <w:bCs/>
          <w:b/>
        </w:rPr>
        <w:t xml:space="preserve">For Orthodontists:</w:t>
      </w:r>
      <w:r>
        <w:t xml:space="preserve"> </w:t>
      </w:r>
      <w:r>
        <w:t xml:space="preserve">Provides evidence to guide investment in technology, patient communication strategies, and service models suited to Moscow's competitive landscape.</w:t>
      </w:r>
    </w:p>
    <w:p>
      <w:pPr>
        <w:numPr>
          <w:ilvl w:val="0"/>
          <w:numId w:val="1003"/>
        </w:numPr>
        <w:pStyle w:val="Compact"/>
      </w:pPr>
      <w:r>
        <w:rPr>
          <w:bCs/>
          <w:b/>
        </w:rPr>
        <w:t xml:space="preserve">For Healthcare Policy (Moscow City Administration &amp; Federal Ministry of Health):</w:t>
      </w:r>
      <w:r>
        <w:t xml:space="preserve"> </w:t>
      </w:r>
      <w:r>
        <w:t xml:space="preserve">Informs targeted subsidies, insurance coverage reforms, and training programs for Orthodontist specialists to improve population-level access.</w:t>
      </w:r>
    </w:p>
    <w:p>
      <w:pPr>
        <w:numPr>
          <w:ilvl w:val="0"/>
          <w:numId w:val="1003"/>
        </w:numPr>
        <w:pStyle w:val="Compact"/>
      </w:pPr>
      <w:r>
        <w:rPr>
          <w:bCs/>
          <w:b/>
        </w:rPr>
        <w:t xml:space="preserve">For Patients:</w:t>
      </w:r>
      <w:r>
        <w:t xml:space="preserve"> </w:t>
      </w:r>
      <w:r>
        <w:t xml:space="preserve">Aims to identify cost-effective pathways and enhance transparency in Moscow's orthodontic market, directly improving patient experiences.</w:t>
      </w:r>
    </w:p>
    <w:p>
      <w:pPr>
        <w:numPr>
          <w:ilvl w:val="0"/>
          <w:numId w:val="1003"/>
        </w:numPr>
        <w:pStyle w:val="Compact"/>
      </w:pPr>
      <w:r>
        <w:rPr>
          <w:bCs/>
          <w:b/>
        </w:rPr>
        <w:t xml:space="preserve">National Impact:</w:t>
      </w:r>
      <w:r>
        <w:t xml:space="preserve"> </w:t>
      </w:r>
      <w:r>
        <w:t xml:space="preserve">Findings will serve as a benchmark for expanding similar studies across other major Russian cities (St. Petersburg, Novosibirsk), positioning Moscow as a leader in evidence-based orthodontic service development within Russia.</w:t>
      </w:r>
    </w:p>
    <w:bookmarkEnd w:id="25"/>
    <w:bookmarkStart w:id="26" w:name="project-timeline-resources"/>
    <w:p>
      <w:pPr>
        <w:pStyle w:val="Heading2"/>
      </w:pPr>
      <w:r>
        <w:t xml:space="preserve">6. Project Timeline &amp; Resources</w:t>
      </w:r>
    </w:p>
    <w:p>
      <w:pPr>
        <w:pStyle w:val="FirstParagraph"/>
      </w:pPr>
      <w:r>
        <w:t xml:space="preserve">A 15-month project timeline is proposed:</w:t>
      </w:r>
    </w:p>
    <w:p>
      <w:pPr>
        <w:numPr>
          <w:ilvl w:val="0"/>
          <w:numId w:val="1004"/>
        </w:numPr>
        <w:pStyle w:val="Compact"/>
      </w:pPr>
      <w:r>
        <w:t xml:space="preserve">Months 1-3: Finalize ethical approvals (Moscow Research Ethics Committee), develop survey instruments, recruit clinic partners.</w:t>
      </w:r>
    </w:p>
    <w:p>
      <w:pPr>
        <w:numPr>
          <w:ilvl w:val="0"/>
          <w:numId w:val="1004"/>
        </w:numPr>
        <w:pStyle w:val="Compact"/>
      </w:pPr>
      <w:r>
        <w:t xml:space="preserve">Months 4-8: Data collection (Patient surveys &amp; Orthodontist interviews).</w:t>
      </w:r>
    </w:p>
    <w:p>
      <w:pPr>
        <w:numPr>
          <w:ilvl w:val="0"/>
          <w:numId w:val="1004"/>
        </w:numPr>
        <w:pStyle w:val="Compact"/>
      </w:pPr>
      <w:r>
        <w:t xml:space="preserve">Months 9-12: Data analysis and preliminary report drafting.</w:t>
      </w:r>
    </w:p>
    <w:p>
      <w:pPr>
        <w:numPr>
          <w:ilvl w:val="0"/>
          <w:numId w:val="1004"/>
        </w:numPr>
        <w:pStyle w:val="Compact"/>
      </w:pPr>
      <w:r>
        <w:t xml:space="preserve">Months 13-15: Final report preparation, stakeholder workshops in Moscow, dissemination of findings to key Russian dental associations and government bodies.</w:t>
      </w:r>
    </w:p>
    <w:bookmarkEnd w:id="26"/>
    <w:bookmarkStart w:id="27" w:name="conclusion"/>
    <w:p>
      <w:pPr>
        <w:pStyle w:val="Heading2"/>
      </w:pPr>
      <w:r>
        <w:t xml:space="preserve">7. Conclusion</w:t>
      </w:r>
    </w:p>
    <w:p>
      <w:pPr>
        <w:pStyle w:val="FirstParagraph"/>
      </w:pPr>
      <w:r>
        <w:t xml:space="preserve">The need for high-quality, accessible orthodontic care in Russia's capital city is undeniable and growing. This Research Proposal addresses a critical gap by focusing specifically on the practice of Orthodontist professionals and patient experiences within the unique socio-economic and healthcare framework of Moscow, Russia. By generating actionable data on access barriers, technology integration, and patient needs through rigorous methodology grounded in the Moscow context, this study will empower Orthodontists to deliver more effective services and provide policymakers with a robust foundation for improving dental health outcomes across Russia's most populous urban center. The findings promise not only to elevate orthodontic standards within Moscow but also to establish a replicable model for advancing specialty dental care nationwide.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in Moscow, Russia</dc:title>
  <dc:creator/>
  <dc:language>en</dc:language>
  <cp:keywords/>
  <dcterms:created xsi:type="dcterms:W3CDTF">2026-07-21T03:25:51Z</dcterms:created>
  <dcterms:modified xsi:type="dcterms:W3CDTF">2026-07-21T03:25:51Z</dcterms:modified>
</cp:coreProperties>
</file>

<file path=docProps/custom.xml><?xml version="1.0" encoding="utf-8"?>
<Properties xmlns="http://schemas.openxmlformats.org/officeDocument/2006/custom-properties" xmlns:vt="http://schemas.openxmlformats.org/officeDocument/2006/docPropsVTypes"/>
</file>