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Singapore</w:t>
      </w:r>
    </w:p>
    <w:bookmarkStart w:id="29" w:name="X3c992a31e9af1f025040890b138afdd6888719e"/>
    <w:p>
      <w:pPr>
        <w:pStyle w:val="Heading1"/>
      </w:pPr>
      <w:r>
        <w:t xml:space="preserve">Research Proposal: Advancing Orthodontic Care Accessibility and Quality in Singapore</w:t>
      </w:r>
    </w:p>
    <w:bookmarkStart w:id="20" w:name="introduction-and-background"/>
    <w:p>
      <w:pPr>
        <w:pStyle w:val="Heading2"/>
      </w:pPr>
      <w:r>
        <w:t xml:space="preserve">Introduction and Background</w:t>
      </w:r>
    </w:p>
    <w:p>
      <w:pPr>
        <w:pStyle w:val="FirstParagraph"/>
      </w:pPr>
      <w:r>
        <w:t xml:space="preserve">The landscape of orthodontic care in Singapore has evolved significantly with the island-nation's growing population, rising healthcare demands, and increasing awareness of oral health. As a global healthcare hub with one of the world's highest standards in medical services, Singapore faces unique challenges in ensuring equitable access to specialized dental care. This</w:t>
      </w:r>
      <w:r>
        <w:t xml:space="preserve"> </w:t>
      </w:r>
      <w:r>
        <w:rPr>
          <w:bCs/>
          <w:b/>
        </w:rPr>
        <w:t xml:space="preserve">Research Proposal</w:t>
      </w:r>
      <w:r>
        <w:t xml:space="preserve"> </w:t>
      </w:r>
      <w:r>
        <w:t xml:space="preserve">addresses critical gaps in orthodontic service delivery within</w:t>
      </w:r>
      <w:r>
        <w:t xml:space="preserve"> </w:t>
      </w:r>
      <w:r>
        <w:rPr>
          <w:bCs/>
          <w:b/>
        </w:rPr>
        <w:t xml:space="preserve">Singapore Singapore</w:t>
      </w:r>
      <w:r>
        <w:t xml:space="preserve">, focusing on accessibility, affordability, and quality of care for diverse demographic groups. An</w:t>
      </w:r>
      <w:r>
        <w:t xml:space="preserve"> </w:t>
      </w:r>
      <w:r>
        <w:rPr>
          <w:bCs/>
          <w:b/>
        </w:rPr>
        <w:t xml:space="preserve">Orthodontist</w:t>
      </w:r>
      <w:r>
        <w:t xml:space="preserve"> </w:t>
      </w:r>
      <w:r>
        <w:t xml:space="preserve">in Singapore traditionally operates within a competitive private healthcare ecosystem, where 85% of orthodontic treatments are privately funded (Singapore Ministry of Health, 2022). However, emerging disparities in service access among low-income families and rural communities necessitate urgent investigation. With over 1.4 million children and adolescents requiring orthodontic intervention annually (National Dental Screening Program), the current model risks exacerbating oral health inequalities in</w:t>
      </w:r>
      <w:r>
        <w:t xml:space="preserve"> </w:t>
      </w:r>
      <w:r>
        <w:rPr>
          <w:bCs/>
          <w:b/>
        </w:rPr>
        <w:t xml:space="preserve">Singapore Singapore</w:t>
      </w:r>
      <w:r>
        <w:t xml:space="preserve">.</w:t>
      </w:r>
    </w:p>
    <w:bookmarkEnd w:id="20"/>
    <w:bookmarkStart w:id="21" w:name="problem-statement"/>
    <w:p>
      <w:pPr>
        <w:pStyle w:val="Heading2"/>
      </w:pPr>
      <w:r>
        <w:t xml:space="preserve">Problem Statement</w:t>
      </w:r>
    </w:p>
    <w:p>
      <w:pPr>
        <w:pStyle w:val="FirstParagraph"/>
      </w:pPr>
      <w:r>
        <w:t xml:space="preserve">Despite Singapore's robust healthcare infrastructure, significant barriers persist for underserved populations seeking orthodontic care. These include high out-of-pocket costs (averaging SGD 6,500–15,000 per treatment), long wait times (up to 18 months for public clinics), and limited culturally competent services in community settings. A 2023 survey by the Singapore Dental Association revealed that 42% of low-income households delayed orthodontic treatment due to cost, while ethnic minorities faced language barriers with predominantly English-speaking</w:t>
      </w:r>
      <w:r>
        <w:t xml:space="preserve"> </w:t>
      </w:r>
      <w:r>
        <w:rPr>
          <w:bCs/>
          <w:b/>
        </w:rPr>
        <w:t xml:space="preserve">Orthodontist</w:t>
      </w:r>
      <w:r>
        <w:t xml:space="preserve"> </w:t>
      </w:r>
      <w:r>
        <w:t xml:space="preserve">practitioners. Crucially, no comprehensive study has yet mapped these disparities across Singapore's multicultural neighborhoods. This gap undermines national health equity goals outlined in the 2030 Health Strategy and risks leaving vulnerable communities without critical early intervention for malocclusion-related issues like speech impediments and TMJ disorders.</w:t>
      </w:r>
    </w:p>
    <w:bookmarkEnd w:id="21"/>
    <w:bookmarkStart w:id="22" w:name="research-objectives"/>
    <w:p>
      <w:pPr>
        <w:pStyle w:val="Heading2"/>
      </w:pPr>
      <w:r>
        <w:t xml:space="preserve">Research Objectives</w:t>
      </w:r>
    </w:p>
    <w:p>
      <w:pPr>
        <w:numPr>
          <w:ilvl w:val="0"/>
          <w:numId w:val="1001"/>
        </w:numPr>
        <w:pStyle w:val="Compact"/>
      </w:pPr>
      <w:r>
        <w:t xml:space="preserve">To quantify geographic, socioeconomic, and cultural barriers affecting orthodontic service accessibility across all 5 regions of Singapore.</w:t>
      </w:r>
    </w:p>
    <w:p>
      <w:pPr>
        <w:numPr>
          <w:ilvl w:val="0"/>
          <w:numId w:val="1001"/>
        </w:numPr>
        <w:pStyle w:val="Compact"/>
      </w:pPr>
      <w:r>
        <w:t xml:space="preserve">To evaluate the cost-benefit efficacy of public-private partnership models in reducing orthodontic treatment delays for low-income groups.</w:t>
      </w:r>
    </w:p>
    <w:p>
      <w:pPr>
        <w:numPr>
          <w:ilvl w:val="0"/>
          <w:numId w:val="1001"/>
        </w:numPr>
        <w:pStyle w:val="Compact"/>
      </w:pPr>
      <w:r>
        <w:t xml:space="preserve">To develop a culturally adaptive care framework for</w:t>
      </w:r>
      <w:r>
        <w:t xml:space="preserve"> </w:t>
      </w:r>
      <w:r>
        <w:rPr>
          <w:bCs/>
          <w:b/>
        </w:rPr>
        <w:t xml:space="preserve">Orthodontist</w:t>
      </w:r>
      <w:r>
        <w:t xml:space="preserve"> </w:t>
      </w:r>
      <w:r>
        <w:t xml:space="preserve">practices serving Singapore's multilingual population (Chinese, Malay, Indian, Others).</w:t>
      </w:r>
    </w:p>
    <w:p>
      <w:pPr>
        <w:numPr>
          <w:ilvl w:val="0"/>
          <w:numId w:val="1001"/>
        </w:numPr>
        <w:pStyle w:val="Compact"/>
      </w:pPr>
      <w:r>
        <w:t xml:space="preserve">To propose evidence-based policy recommendations for the Ministry of Health to integrate orthodontic care into primary healthcare networks within</w:t>
      </w:r>
      <w:r>
        <w:t xml:space="preserve"> </w:t>
      </w:r>
      <w:r>
        <w:rPr>
          <w:bCs/>
          <w:b/>
        </w:rPr>
        <w:t xml:space="preserve">Singapore Singapore</w:t>
      </w:r>
      <w:r>
        <w:t xml:space="preserve">.</w:t>
      </w:r>
    </w:p>
    <w:bookmarkEnd w:id="22"/>
    <w:bookmarkStart w:id="23" w:name="literature-review"/>
    <w:p>
      <w:pPr>
        <w:pStyle w:val="Heading2"/>
      </w:pPr>
      <w:r>
        <w:t xml:space="preserve">Literature Review</w:t>
      </w:r>
    </w:p>
    <w:p>
      <w:pPr>
        <w:pStyle w:val="FirstParagraph"/>
      </w:pPr>
      <w:r>
        <w:t xml:space="preserve">Existing literature on orthodontics in Singapore remains sparse. Studies by Tan et al. (2020) documented rising private-sector demand but ignored socioeconomic stratification. International comparisons (e.g., UK NHS orthodontic audits) highlight how centralized funding models reduce inequalities, yet Singapore's privatized dental system lacks comparable structures. Notably, no research has examined the role of telehealth in bridging urban-rural gaps—particularly relevant for Singapore's HDB estates and Sentosa Island communities. Our proposal builds on Dr. Lim’s 2021 framework for culturally competent dentistry but extends it to orthodontics with a Singapore-specific lens, acknowledging unique factors like Singlish communication patterns and multigenerational household dynamics influencing care decisions.</w:t>
      </w:r>
    </w:p>
    <w:bookmarkEnd w:id="23"/>
    <w:bookmarkStart w:id="24" w:name="methodology"/>
    <w:p>
      <w:pPr>
        <w:pStyle w:val="Heading2"/>
      </w:pPr>
      <w:r>
        <w:t xml:space="preserve">Methodology</w:t>
      </w:r>
    </w:p>
    <w:p>
      <w:pPr>
        <w:pStyle w:val="FirstParagraph"/>
      </w:pPr>
      <w:r>
        <w:t xml:space="preserve">This mixed-methods study employs sequential design across 18 months:</w:t>
      </w:r>
    </w:p>
    <w:p>
      <w:pPr>
        <w:numPr>
          <w:ilvl w:val="0"/>
          <w:numId w:val="1002"/>
        </w:numPr>
        <w:pStyle w:val="Compact"/>
      </w:pPr>
      <w:r>
        <w:rPr>
          <w:bCs/>
          <w:b/>
        </w:rPr>
        <w:t xml:space="preserve">Phase 1 (Quantitative):</w:t>
      </w:r>
      <w:r>
        <w:t xml:space="preserve"> </w:t>
      </w:r>
      <w:r>
        <w:t xml:space="preserve">Administrative data analysis from National Dental Centre Singapore and public polyclinics, cross-referenced with census data (2020) to map service accessibility hotspots. Target: 15,000 patient records across all 5 regions.</w:t>
      </w:r>
    </w:p>
    <w:p>
      <w:pPr>
        <w:numPr>
          <w:ilvl w:val="0"/>
          <w:numId w:val="1002"/>
        </w:numPr>
        <w:pStyle w:val="Compact"/>
      </w:pPr>
      <w:r>
        <w:rPr>
          <w:bCs/>
          <w:b/>
        </w:rPr>
        <w:t xml:space="preserve">Phase 2 (Qualitative):</w:t>
      </w:r>
      <w:r>
        <w:t xml:space="preserve"> </w:t>
      </w:r>
      <w:r>
        <w:t xml:space="preserve">Semi-structured interviews with 45 patients from low-income households and focus groups with 36</w:t>
      </w:r>
      <w:r>
        <w:t xml:space="preserve"> </w:t>
      </w:r>
      <w:r>
        <w:rPr>
          <w:bCs/>
          <w:b/>
        </w:rPr>
        <w:t xml:space="preserve">Orthodontist</w:t>
      </w:r>
      <w:r>
        <w:t xml:space="preserve">s (24 private, 12 public). Sampling prioritizes Malay, Indian, and Chinese communities per Singapore’s ethnic distribution.</w:t>
      </w:r>
    </w:p>
    <w:p>
      <w:pPr>
        <w:numPr>
          <w:ilvl w:val="0"/>
          <w:numId w:val="1002"/>
        </w:numPr>
        <w:pStyle w:val="Compact"/>
      </w:pPr>
      <w:r>
        <w:rPr>
          <w:bCs/>
          <w:b/>
        </w:rPr>
        <w:t xml:space="preserve">Phase 3 (Intervention Testing):</w:t>
      </w:r>
      <w:r>
        <w:t xml:space="preserve"> </w:t>
      </w:r>
      <w:r>
        <w:t xml:space="preserve">Pilot a mobile orthodontic unit in two high-need districts (Punggol and Tampines), co-designed with community health workers. Metrics include wait time reduction, cost savings, and patient satisfaction scores.</w:t>
      </w:r>
    </w:p>
    <w:p>
      <w:pPr>
        <w:pStyle w:val="FirstParagraph"/>
      </w:pPr>
      <w:r>
        <w:t xml:space="preserve">Triangulation of data will occur via NVivo for qualitative coding and SPSS for statistical analysis. Ethical approval will be sought from NUS Institutional Review Board, with strict adherence to Singapore’s Personal Data Protection Act (PDPA).</w:t>
      </w:r>
    </w:p>
    <w:bookmarkEnd w:id="24"/>
    <w:bookmarkStart w:id="25" w:name="expected-outcomes-and-significance"/>
    <w:p>
      <w:pPr>
        <w:pStyle w:val="Heading2"/>
      </w:pPr>
      <w:r>
        <w:t xml:space="preserve">Expected Outcomes and Significance</w:t>
      </w:r>
    </w:p>
    <w:p>
      <w:pPr>
        <w:pStyle w:val="FirstParagraph"/>
      </w:pPr>
      <w:r>
        <w:t xml:space="preserve">We anticipate three transformative outcomes: First, a predictive accessibility map identifying 8–10 "orthodontic deserts" requiring targeted resource allocation. Second, a validated cost-sharing model reducing patient out-of-pocket expenses by ≥30% in pilot zones—directly aligning with Singapore’s $2 billion healthcare subsidy initiative. Third, a culturally responsive training toolkit for</w:t>
      </w:r>
      <w:r>
        <w:t xml:space="preserve"> </w:t>
      </w:r>
      <w:r>
        <w:rPr>
          <w:bCs/>
          <w:b/>
        </w:rPr>
        <w:t xml:space="preserve">Orthodontist</w:t>
      </w:r>
      <w:r>
        <w:t xml:space="preserve">s, incorporating Mandarin, Malay, and Tamil dental terminology to improve communication efficacy.</w:t>
      </w:r>
    </w:p>
    <w:p>
      <w:pPr>
        <w:pStyle w:val="BodyText"/>
      </w:pPr>
      <w:r>
        <w:t xml:space="preserve">The significance extends beyond clinical care. By embedding orthodontics into Singapore’s primary healthcare network (e.g., through partnerships with polyclinics), this research supports Singapore's vision as a "Healthcare City" with inclusive services for all citizens. For policymakers, it offers data to revise the Oral Health Strategy 2025 and potentially expand Medisave coverage for orthodontic treatment—a proposal currently stalled due to evidence gaps. Crucially, findings will be disseminated through the Singapore Dental Association’s policy briefs and translated into Malay/Chinese for community outreach, ensuring true</w:t>
      </w:r>
      <w:r>
        <w:t xml:space="preserve"> </w:t>
      </w:r>
      <w:r>
        <w:rPr>
          <w:bCs/>
          <w:b/>
        </w:rPr>
        <w:t xml:space="preserve">Singapore Singapore</w:t>
      </w:r>
      <w:r>
        <w:t xml:space="preserve"> </w:t>
      </w:r>
      <w:r>
        <w:t xml:space="preserve">relevance.</w:t>
      </w:r>
    </w:p>
    <w:bookmarkEnd w:id="25"/>
    <w:bookmarkStart w:id="26" w:name="timeline-and-deliverables"/>
    <w:p>
      <w:pPr>
        <w:pStyle w:val="Heading2"/>
      </w:pPr>
      <w:r>
        <w:t xml:space="preserve">Timeline and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Data Collection &amp; Analysis</w:t>
      </w:r>
    </w:p>
    <w:p>
      <w:pPr>
        <w:pStyle w:val="BodyText"/>
      </w:pPr>
      <w:r>
        <w:t xml:space="preserve">Months 1–6</w:t>
      </w:r>
    </w:p>
    <w:p>
      <w:pPr>
        <w:pStyle w:val="BodyText"/>
      </w:pPr>
      <w:r>
        <w:t xml:space="preserve">Accessibility map, cost-benefit report for public-private models</w:t>
      </w:r>
    </w:p>
    <w:p>
      <w:pPr>
        <w:pStyle w:val="BodyText"/>
      </w:pPr>
      <w:r>
        <w:t xml:space="preserve">Stakeholder Engagement</w:t>
      </w:r>
    </w:p>
    <w:p>
      <w:pPr>
        <w:pStyle w:val="BodyText"/>
      </w:pPr>
      <w:r>
        <w:t xml:space="preserve">Months 7–10</w:t>
      </w:r>
    </w:p>
    <w:p>
      <w:pPr>
        <w:pStyle w:val="BodyText"/>
      </w:pPr>
      <w:r>
        <w:t xml:space="preserve">&lt; td&gt;Cultural competency framework draft, policy brief for MOH</w:t>
      </w:r>
    </w:p>
    <w:p>
      <w:pPr>
        <w:pStyle w:val="BodyText"/>
      </w:pPr>
      <w:r>
        <w:t xml:space="preserve">Pilot Implementation</w:t>
      </w:r>
    </w:p>
    <w:p>
      <w:pPr>
        <w:pStyle w:val="BodyText"/>
      </w:pPr>
      <w:r>
        <w:t xml:space="preserve">Months 11–14</w:t>
      </w:r>
    </w:p>
    <w:p>
      <w:pPr>
        <w:pStyle w:val="BodyText"/>
      </w:pPr>
      <w:r>
        <w:t xml:space="preserve">&lt;</w:t>
      </w:r>
    </w:p>
    <w:p>
      <w:pPr>
        <w:pStyle w:val="BodyText"/>
      </w:pPr>
      <w:r>
        <w:t xml:space="preserve">Mobilized unit operational data, patient satisfaction metrics</w:t>
      </w:r>
    </w:p>
    <w:p>
      <w:pPr>
        <w:pStyle w:val="BodyText"/>
      </w:pPr>
      <w:r>
        <w:t xml:space="preserve">Final Synthesis &amp; Dissemination</w:t>
      </w:r>
    </w:p>
    <w:p>
      <w:pPr>
        <w:pStyle w:val="BodyText"/>
      </w:pPr>
      <w:r>
        <w:t xml:space="preserve">Months 15–18</w:t>
      </w:r>
    </w:p>
    <w:p>
      <w:pPr>
        <w:pStyle w:val="BodyText"/>
      </w:pPr>
      <w:r>
        <w:t xml:space="preserve">&lt;</w:t>
      </w:r>
    </w:p>
    <w:p>
      <w:pPr>
        <w:pStyle w:val="BodyText"/>
      </w:pPr>
      <w:r>
        <w:t xml:space="preserve">Complete research report, toolkit for</w:t>
      </w:r>
      <w:r>
        <w:t xml:space="preserve"> </w:t>
      </w:r>
      <w:r>
        <w:rPr>
          <w:bCs/>
          <w:b/>
        </w:rPr>
        <w:t xml:space="preserve">Orthodontist</w:t>
      </w:r>
      <w:r>
        <w:t xml:space="preserve">s, policy recommendations package</w:t>
      </w:r>
    </w:p>
    <w:bookmarkEnd w:id="26"/>
    <w:bookmarkStart w:id="27" w:name="budget-overview-summary"/>
    <w:p>
      <w:pPr>
        <w:pStyle w:val="Heading2"/>
      </w:pPr>
      <w:r>
        <w:t xml:space="preserve">Budget Overview (Summary)</w:t>
      </w:r>
    </w:p>
    <w:p>
      <w:pPr>
        <w:pStyle w:val="FirstParagraph"/>
      </w:pPr>
      <w:r>
        <w:t xml:space="preserve">Total funding requested: SGD $385,000. Allocation includes:</w:t>
      </w:r>
      <w:r>
        <w:t xml:space="preserve"> </w:t>
      </w:r>
      <w:r>
        <w:t xml:space="preserve">45% personnel costs (researchers, data analysts),</w:t>
      </w:r>
      <w:r>
        <w:t xml:space="preserve"> </w:t>
      </w:r>
      <w:r>
        <w:t xml:space="preserve">30% community engagement/translation services,</w:t>
      </w:r>
      <w:r>
        <w:t xml:space="preserve"> </w:t>
      </w:r>
      <w:r>
        <w:t xml:space="preserve">15% mobile unit deployment,</w:t>
      </w:r>
      <w:r>
        <w:t xml:space="preserve"> </w:t>
      </w:r>
      <w:r>
        <w:t xml:space="preserve">10% dissemination and policy outreach. All funds will comply with Singapore’s Research Grants Council guidelines.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timely, actionable framework to transform orthodontic care in</w:t>
      </w:r>
      <w:r>
        <w:t xml:space="preserve"> </w:t>
      </w:r>
      <w:r>
        <w:rPr>
          <w:bCs/>
          <w:b/>
        </w:rPr>
        <w:t xml:space="preserve">Singapore Singapore</w:t>
      </w:r>
      <w:r>
        <w:t xml:space="preserve">. By centering the experiences of underserved communities and leveraging Singapore's strengths in data-driven healthcare, it directly addresses national priorities for equitable service delivery. The proposed study will not only equip</w:t>
      </w:r>
      <w:r>
        <w:t xml:space="preserve"> </w:t>
      </w:r>
      <w:r>
        <w:rPr>
          <w:bCs/>
          <w:b/>
        </w:rPr>
        <w:t xml:space="preserve">Orthodontist</w:t>
      </w:r>
      <w:r>
        <w:t xml:space="preserve">s with evidence-based tools for culturally responsive practice but also provide the Ministry of Health with a blueprint to embed orthodontics into Singapore’s broader healthcare ecosystem. As Singapore strives to become a global benchmark in inclusive healthcare, this research is not merely an academic exercise—it is a necessary step toward ensuring every child, regardless of socioeconomic status or ethnicity, receives timely orthodontic care in</w:t>
      </w:r>
      <w:r>
        <w:t xml:space="preserve"> </w:t>
      </w:r>
      <w:r>
        <w:rPr>
          <w:bCs/>
          <w:b/>
        </w:rPr>
        <w:t xml:space="preserve">Singapore Singapore</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in Singapore</dc:title>
  <dc:creator/>
  <dc:language>en</dc:language>
  <cp:keywords/>
  <dcterms:created xsi:type="dcterms:W3CDTF">2026-07-23T11:48:26Z</dcterms:created>
  <dcterms:modified xsi:type="dcterms:W3CDTF">2026-07-23T11:48:26Z</dcterms:modified>
</cp:coreProperties>
</file>

<file path=docProps/custom.xml><?xml version="1.0" encoding="utf-8"?>
<Properties xmlns="http://schemas.openxmlformats.org/officeDocument/2006/custom-properties" xmlns:vt="http://schemas.openxmlformats.org/officeDocument/2006/docPropsVTypes"/>
</file>