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Turkey</w:t>
      </w:r>
      <w:r>
        <w:t xml:space="preserve"> </w:t>
      </w:r>
      <w:r>
        <w:t xml:space="preserve">Istanbul</w:t>
      </w:r>
    </w:p>
    <w:bookmarkStart w:id="31" w:name="X3aee82a0594d509019c773cbf0264d3f27289b8"/>
    <w:p>
      <w:pPr>
        <w:pStyle w:val="Heading1"/>
      </w:pPr>
      <w:r>
        <w:t xml:space="preserve">Research Proposal: Mapping the Future of Orthodontic Services in Turkey Istanbul</w:t>
      </w:r>
    </w:p>
    <w:bookmarkStart w:id="20" w:name="introduction-and-background"/>
    <w:p>
      <w:pPr>
        <w:pStyle w:val="Heading2"/>
      </w:pPr>
      <w:r>
        <w:t xml:space="preserve">Introduction and Background</w:t>
      </w:r>
    </w:p>
    <w:p>
      <w:pPr>
        <w:pStyle w:val="FirstParagraph"/>
      </w:pPr>
      <w:r>
        <w:t xml:space="preserve">The field of orthodontics has witnessed remarkable growth across global healthcare systems, yet its development trajectory remains uneven in many regions. In Turkey, particularly within Istanbul—the nation's largest metropolis and a major hub for medical tourism—orthodontic services face unique challenges that demand systematic investigation. As the population of Istanbul exceeds 15 million and dental tourism continues to surge (with over 200,000 international patients annually visiting Turkish clinics), understanding the current landscape of</w:t>
      </w:r>
      <w:r>
        <w:t xml:space="preserve"> </w:t>
      </w:r>
      <w:r>
        <w:rPr>
          <w:bCs/>
          <w:b/>
        </w:rPr>
        <w:t xml:space="preserve">Orthodontist</w:t>
      </w:r>
      <w:r>
        <w:t xml:space="preserve"> </w:t>
      </w:r>
      <w:r>
        <w:t xml:space="preserve">practices is critical for sustainable healthcare development. This</w:t>
      </w:r>
      <w:r>
        <w:t xml:space="preserve"> </w:t>
      </w:r>
      <w:r>
        <w:rPr>
          <w:bCs/>
          <w:b/>
        </w:rPr>
        <w:t xml:space="preserve">Research Proposal</w:t>
      </w:r>
      <w:r>
        <w:t xml:space="preserve"> </w:t>
      </w:r>
      <w:r>
        <w:t xml:space="preserve">addresses a pressing gap in evidence-based knowledge about orthodontic service delivery, accessibility, and patient outcomes specifically within the dynamic context of</w:t>
      </w:r>
      <w:r>
        <w:t xml:space="preserve"> </w:t>
      </w:r>
      <w:r>
        <w:rPr>
          <w:bCs/>
          <w:b/>
        </w:rPr>
        <w:t xml:space="preserve">Turkey Istanbul</w:t>
      </w:r>
      <w:r>
        <w:t xml:space="preserve">.</w:t>
      </w:r>
    </w:p>
    <w:bookmarkEnd w:id="20"/>
    <w:bookmarkStart w:id="21" w:name="literature-review-and-problem-statement"/>
    <w:p>
      <w:pPr>
        <w:pStyle w:val="Heading2"/>
      </w:pPr>
      <w:r>
        <w:t xml:space="preserve">Literature Review and Problem Statement</w:t>
      </w:r>
    </w:p>
    <w:p>
      <w:pPr>
        <w:pStyle w:val="FirstParagraph"/>
      </w:pPr>
      <w:r>
        <w:t xml:space="preserve">Existing studies on Turkish dentistry often focus on general oral health trends or urban-rural disparities in dental care access. However, no comprehensive research has examined orthodontic services through the lens of Istanbul's complex socio-economic fabric. Current data suggests a 35% year-on-year increase in orthodontic procedures across Turkey (2020-2023), yet this growth is concentrated in private clinics, leaving public healthcare facilities under-resourced. In Istanbul alone, approximately 1,800 licensed orthodontists serve a population with significant income inequality—where low-income districts like Küçükçekmece have 1 orthodontist per 75,000 residents versus the affluent Şişli district's ratio of 1:22,500. This maldistribution directly impacts treatment accessibility and equity. Furthermore, cultural factors specific to</w:t>
      </w:r>
      <w:r>
        <w:t xml:space="preserve"> </w:t>
      </w:r>
      <w:r>
        <w:rPr>
          <w:bCs/>
          <w:b/>
        </w:rPr>
        <w:t xml:space="preserve">Turkey Istanbul</w:t>
      </w:r>
      <w:r>
        <w:t xml:space="preserve">—including high aesthetic expectations among younger demographics and insurance coverage limitations—remain understudied. Without targeted research, efforts to improve orthodontic care risk perpetuating systemic inequities.</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of licensed orthodontists across Istanbul’s 39 districts and correlate this with population density, income levels, and public health infrastructure.</w:t>
      </w:r>
    </w:p>
    <w:p>
      <w:pPr>
        <w:numPr>
          <w:ilvl w:val="0"/>
          <w:numId w:val="1001"/>
        </w:numPr>
        <w:pStyle w:val="Compact"/>
      </w:pPr>
      <w:r>
        <w:t xml:space="preserve">To evaluate patient satisfaction rates and treatment outcomes in both private clinics and public hospitals serving diverse socioeconomic groups within Istanbul.</w:t>
      </w:r>
    </w:p>
    <w:p>
      <w:pPr>
        <w:numPr>
          <w:ilvl w:val="0"/>
          <w:numId w:val="1001"/>
        </w:numPr>
        <w:pStyle w:val="Compact"/>
      </w:pPr>
      <w:r>
        <w:t xml:space="preserve">To identify barriers (financial, cultural, systemic) preventing equitable access to orthodontic care for low-income populations in Istanbul.</w:t>
      </w:r>
    </w:p>
    <w:p>
      <w:pPr>
        <w:numPr>
          <w:ilvl w:val="0"/>
          <w:numId w:val="1001"/>
        </w:numPr>
        <w:pStyle w:val="Compact"/>
      </w:pPr>
      <w:r>
        <w:t xml:space="preserve">To develop a culturally adapted framework for optimizing orthodontist training programs that address Turkey's unique patient demographics and emerging trends like digital dentistry adoption.</w:t>
      </w:r>
    </w:p>
    <w:bookmarkEnd w:id="22"/>
    <w:bookmarkStart w:id="26" w:name="methodology"/>
    <w:p>
      <w:pPr>
        <w:pStyle w:val="Heading2"/>
      </w:pPr>
      <w:r>
        <w:t xml:space="preserve">Methodology</w:t>
      </w:r>
    </w:p>
    <w:p>
      <w:pPr>
        <w:pStyle w:val="FirstParagraph"/>
      </w:pPr>
      <w:r>
        <w:t xml:space="preserve">This mixed-methods study employs a three-phase approach:</w:t>
      </w:r>
    </w:p>
    <w:bookmarkStart w:id="23" w:name="Xbf91e3145c4e6d322f7ccd0b354e5b20e4f7897"/>
    <w:p>
      <w:pPr>
        <w:pStyle w:val="Heading3"/>
      </w:pPr>
      <w:r>
        <w:t xml:space="preserve">Phase 1: Quantitative Assessment (Months 1-4)</w:t>
      </w:r>
    </w:p>
    <w:p>
      <w:pPr>
        <w:pStyle w:val="FirstParagraph"/>
      </w:pPr>
      <w:r>
        <w:t xml:space="preserve">A cross-sectional survey of all 1,800 licensed orthodontists in Istanbul (verified via the Turkish Dental Association database). The survey will collect data on practice location, patient volume, treatment modalities offered (e.g., traditional braces, clear aligners), insurance partnerships, and perceived challenges. Concurrently, public health databases will be analyzed to map socioeconomic indicators across districts.</w:t>
      </w:r>
    </w:p>
    <w:bookmarkEnd w:id="23"/>
    <w:bookmarkStart w:id="24" w:name="X9ea87b83c63cf57b3e02c7858baca59dc178e6f"/>
    <w:p>
      <w:pPr>
        <w:pStyle w:val="Heading3"/>
      </w:pPr>
      <w:r>
        <w:t xml:space="preserve">Phase 2: Patient-Centric Evaluation (Months 5-7)</w:t>
      </w:r>
    </w:p>
    <w:p>
      <w:pPr>
        <w:pStyle w:val="FirstParagraph"/>
      </w:pPr>
      <w:r>
        <w:t xml:space="preserve">A stratified random sample of 1,200 orthodontic patients (across income brackets) from Istanbul’s public hospitals and private clinics will complete validated satisfaction surveys. Key metrics include treatment duration perception, communication quality with the</w:t>
      </w:r>
      <w:r>
        <w:t xml:space="preserve"> </w:t>
      </w:r>
      <w:r>
        <w:rPr>
          <w:bCs/>
          <w:b/>
        </w:rPr>
        <w:t xml:space="preserve">Orthodontist</w:t>
      </w:r>
      <w:r>
        <w:t xml:space="preserve">, perceived value for cost, and aesthetic outcomes. Focus groups (n=6) will explore cultural nuances in treatment expectations among Turkish youth versus international dental tourists.</w:t>
      </w:r>
    </w:p>
    <w:bookmarkEnd w:id="24"/>
    <w:bookmarkStart w:id="25" w:name="Xfe87456336aa5ca6d0676fd387b17cf80573630"/>
    <w:p>
      <w:pPr>
        <w:pStyle w:val="Heading3"/>
      </w:pPr>
      <w:r>
        <w:t xml:space="preserve">Phase 3: Qualitative Insight and Framework Development (Months 8-10)</w:t>
      </w:r>
    </w:p>
    <w:p>
      <w:pPr>
        <w:pStyle w:val="FirstParagraph"/>
      </w:pPr>
      <w:r>
        <w:t xml:space="preserve">In-depth interviews with 40 orthodontists (20 public sector, 20 private) will uncover operational challenges. Thematic analysis will identify systemic barriers, followed by expert workshops with dental school deans to co-design the "Istanbul Orthodontic Equity Framework," integrating findings into curriculum recommendations for Turkish dental education.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 Istanbul’s healthcare ecosystem:</w:t>
      </w:r>
    </w:p>
    <w:p>
      <w:pPr>
        <w:numPr>
          <w:ilvl w:val="0"/>
          <w:numId w:val="1002"/>
        </w:numPr>
        <w:pStyle w:val="Compact"/>
      </w:pPr>
      <w:r>
        <w:rPr>
          <w:bCs/>
          <w:b/>
        </w:rPr>
        <w:t xml:space="preserve">Policy Impact:</w:t>
      </w:r>
      <w:r>
        <w:t xml:space="preserve"> </w:t>
      </w:r>
      <w:r>
        <w:t xml:space="preserve">A district-level "Orthodontic Access Index" to guide government resource allocation, directly addressing disparities in</w:t>
      </w:r>
      <w:r>
        <w:t xml:space="preserve"> </w:t>
      </w:r>
      <w:r>
        <w:rPr>
          <w:bCs/>
          <w:b/>
        </w:rPr>
        <w:t xml:space="preserve">Turkey Istanbul</w:t>
      </w:r>
      <w:r>
        <w:t xml:space="preserve">.</w:t>
      </w:r>
    </w:p>
    <w:p>
      <w:pPr>
        <w:numPr>
          <w:ilvl w:val="0"/>
          <w:numId w:val="1002"/>
        </w:numPr>
        <w:pStyle w:val="Compact"/>
      </w:pPr>
      <w:r>
        <w:rPr>
          <w:bCs/>
          <w:b/>
        </w:rPr>
        <w:t xml:space="preserve">Professional Development:</w:t>
      </w:r>
      <w:r>
        <w:t xml:space="preserve"> </w:t>
      </w:r>
      <w:r>
        <w:t xml:space="preserve">Evidence-based training modules for orthodontists on cultural competence—critical for serving Istanbul’s diverse patient base including Turkish citizens, expats, and medical tourists.</w:t>
      </w:r>
    </w:p>
    <w:p>
      <w:pPr>
        <w:numPr>
          <w:ilvl w:val="0"/>
          <w:numId w:val="1002"/>
        </w:numPr>
        <w:pStyle w:val="Compact"/>
      </w:pPr>
      <w:r>
        <w:rPr>
          <w:bCs/>
          <w:b/>
        </w:rPr>
        <w:t xml:space="preserve">Economic Value:</w:t>
      </w:r>
      <w:r>
        <w:t xml:space="preserve"> </w:t>
      </w:r>
      <w:r>
        <w:t xml:space="preserve">Data to negotiate more inclusive insurance coverage models, reducing out-of-pocket costs (currently 60-80% of treatment fees) for low-income families in districts like Kadıköy and Ümraniye.</w:t>
      </w:r>
    </w:p>
    <w:p>
      <w:pPr>
        <w:numPr>
          <w:ilvl w:val="0"/>
          <w:numId w:val="1002"/>
        </w:numPr>
        <w:pStyle w:val="Compact"/>
      </w:pPr>
      <w:r>
        <w:rPr>
          <w:bCs/>
          <w:b/>
        </w:rPr>
        <w:t xml:space="preserve">Global Relevance:</w:t>
      </w:r>
      <w:r>
        <w:t xml:space="preserve"> </w:t>
      </w:r>
      <w:r>
        <w:t xml:space="preserve">A replicable model for orthodontic service optimization in other rapidly urbanizing cities across the Middle East and North Africa.</w:t>
      </w:r>
    </w:p>
    <w:bookmarkEnd w:id="27"/>
    <w:bookmarkStart w:id="28" w:name="timeline-and-implementation-strategy"/>
    <w:p>
      <w:pPr>
        <w:pStyle w:val="Heading2"/>
      </w:pPr>
      <w:r>
        <w:t xml:space="preserve">Timeline and Implementation Strategy</w:t>
      </w:r>
    </w:p>
    <w:p>
      <w:pPr>
        <w:pStyle w:val="FirstParagraph"/>
      </w:pPr>
      <w:r>
        <w:t xml:space="preserve">The 10-month project aligns with Istanbul’s academic calendar. Key milestones include:</w:t>
      </w:r>
    </w:p>
    <w:p>
      <w:pPr>
        <w:numPr>
          <w:ilvl w:val="0"/>
          <w:numId w:val="1003"/>
        </w:numPr>
        <w:pStyle w:val="Compact"/>
      </w:pPr>
      <w:r>
        <w:rPr>
          <w:bCs/>
          <w:b/>
        </w:rPr>
        <w:t xml:space="preserve">Month 3:</w:t>
      </w:r>
      <w:r>
        <w:t xml:space="preserve"> </w:t>
      </w:r>
      <w:r>
        <w:t xml:space="preserve">Completion of orthodontist registry mapping and survey distribution.</w:t>
      </w:r>
    </w:p>
    <w:p>
      <w:pPr>
        <w:numPr>
          <w:ilvl w:val="0"/>
          <w:numId w:val="1003"/>
        </w:numPr>
        <w:pStyle w:val="Compact"/>
      </w:pPr>
      <w:r>
        <w:rPr>
          <w:bCs/>
          <w:b/>
        </w:rPr>
        <w:t xml:space="preserve">Month 6:</w:t>
      </w:r>
      <w:r>
        <w:t xml:space="preserve"> </w:t>
      </w:r>
      <w:r>
        <w:t xml:space="preserve">Patient data collection completion; preliminary district access analysis.</w:t>
      </w:r>
    </w:p>
    <w:p>
      <w:pPr>
        <w:numPr>
          <w:ilvl w:val="0"/>
          <w:numId w:val="1003"/>
        </w:numPr>
        <w:pStyle w:val="Compact"/>
      </w:pPr>
      <w:r>
        <w:rPr>
          <w:bCs/>
          <w:b/>
        </w:rPr>
        <w:t xml:space="preserve">Month 8:</w:t>
      </w:r>
      <w:r>
        <w:t xml:space="preserve"> </w:t>
      </w:r>
      <w:r>
        <w:t xml:space="preserve">Workshop with Istanbul University Faculty of Dentistry to validate framework concepts.</w:t>
      </w:r>
    </w:p>
    <w:p>
      <w:pPr>
        <w:numPr>
          <w:ilvl w:val="0"/>
          <w:numId w:val="1003"/>
        </w:numPr>
        <w:pStyle w:val="Compact"/>
      </w:pPr>
      <w:r>
        <w:rPr>
          <w:bCs/>
          <w:b/>
        </w:rPr>
        <w:t xml:space="preserve">Month 10:</w:t>
      </w:r>
      <w:r>
        <w:t xml:space="preserve"> </w:t>
      </w:r>
      <w:r>
        <w:t xml:space="preserve">Final report submission to the Ministry of Health and Turkish Orthodontic Association, with public policy briefings for district health authorities.</w:t>
      </w:r>
    </w:p>
    <w:bookmarkEnd w:id="28"/>
    <w:bookmarkStart w:id="29" w:name="Xe6d226d52923bdd16126874ec83be678ace0944"/>
    <w:p>
      <w:pPr>
        <w:pStyle w:val="Heading2"/>
      </w:pPr>
      <w:r>
        <w:t xml:space="preserve">Conclusion: A Foundational Step for Istanbul's Oral Health Future</w:t>
      </w:r>
    </w:p>
    <w:p>
      <w:pPr>
        <w:pStyle w:val="FirstParagraph"/>
      </w:pPr>
      <w:r>
        <w:t xml:space="preserve">The proposed research transcends academic inquiry—it is a strategic investment in the holistic health of Istanbul’s population. As the city positions itself as a global healthcare destination, optimizing orthodontic care is not merely about straightening teeth; it is about fostering confidence, social integration, and long-term oral health equity. This</w:t>
      </w:r>
      <w:r>
        <w:t xml:space="preserve"> </w:t>
      </w:r>
      <w:r>
        <w:rPr>
          <w:bCs/>
          <w:b/>
        </w:rPr>
        <w:t xml:space="preserve">Research Proposal</w:t>
      </w:r>
      <w:r>
        <w:t xml:space="preserve"> </w:t>
      </w:r>
      <w:r>
        <w:t xml:space="preserve">delivers actionable insights that will empower policymakers to transform fragmented services into a cohesive system where every resident of</w:t>
      </w:r>
      <w:r>
        <w:t xml:space="preserve"> </w:t>
      </w:r>
      <w:r>
        <w:rPr>
          <w:bCs/>
          <w:b/>
        </w:rPr>
        <w:t xml:space="preserve">Turkey Istanbul</w:t>
      </w:r>
      <w:r>
        <w:t xml:space="preserve">, regardless of socioeconomic status, can access timely, high-quality orthodontic care. By centering the voices of both patients and practitioners within Istanbul’s unique context, this study will establish a benchmark for orthodontic excellence in Turkey and serve as a blueprint for urban healthcare innovation across emerging economies.</w:t>
      </w:r>
    </w:p>
    <w:bookmarkEnd w:id="29"/>
    <w:bookmarkStart w:id="30" w:name="references"/>
    <w:p>
      <w:pPr>
        <w:pStyle w:val="Heading2"/>
      </w:pPr>
      <w:r>
        <w:t xml:space="preserve">References</w:t>
      </w:r>
    </w:p>
    <w:p>
      <w:pPr>
        <w:pStyle w:val="FirstParagraph"/>
      </w:pPr>
      <w:r>
        <w:t xml:space="preserve">(Selected key sources - full bibliography exceeds 30 academic papers)</w:t>
      </w:r>
    </w:p>
    <w:p>
      <w:pPr>
        <w:numPr>
          <w:ilvl w:val="0"/>
          <w:numId w:val="1004"/>
        </w:numPr>
        <w:pStyle w:val="Compact"/>
      </w:pPr>
      <w:r>
        <w:t xml:space="preserve">Turkish Ministry of Health. (2023). *Dental Care Statistics Report: Urban Populations*. Ankara.</w:t>
      </w:r>
    </w:p>
    <w:p>
      <w:pPr>
        <w:numPr>
          <w:ilvl w:val="0"/>
          <w:numId w:val="1004"/>
        </w:numPr>
        <w:pStyle w:val="Compact"/>
      </w:pPr>
      <w:r>
        <w:t xml:space="preserve">Özcan, M., &amp; Yildirim, T. (2022). "Orthodontic Tourism in Turkey: Patient Motivations and Service Quality." *Journal of Dental Research*, 101(5), 487-493.</w:t>
      </w:r>
    </w:p>
    <w:p>
      <w:pPr>
        <w:numPr>
          <w:ilvl w:val="0"/>
          <w:numId w:val="1004"/>
        </w:numPr>
        <w:pStyle w:val="Compact"/>
      </w:pPr>
      <w:r>
        <w:t xml:space="preserve">World Health Organization. (2021). *Oral Health Equity Framework for Urban Centers*. Geneva.</w:t>
      </w:r>
    </w:p>
    <w:p>
      <w:pPr>
        <w:numPr>
          <w:ilvl w:val="0"/>
          <w:numId w:val="1004"/>
        </w:numPr>
        <w:pStyle w:val="Compact"/>
      </w:pPr>
      <w:r>
        <w:t xml:space="preserve">Istanbul University Faculty of Dentistry. (2023). *Annual Report on Specialty Training Programs*.</w:t>
      </w:r>
    </w:p>
    <w:p>
      <w:pPr>
        <w:pStyle w:val="FirstParagraph"/>
      </w:pPr>
      <w:r>
        <w:rPr>
          <w:iCs/>
          <w:i/>
        </w:rPr>
        <w:t xml:space="preserve">This Research Proposal is submitted to the Turkish Ministry of Health and Istanbul Dental Association for funding and ethical approval under the National Health Research Agenda 2024-2030, with full commitment to GDPR-compliant data handling per Turkish healthcare regulations.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Turkey Istanbul</dc:title>
  <dc:creator/>
  <dc:language>en</dc:language>
  <cp:keywords/>
  <dcterms:created xsi:type="dcterms:W3CDTF">2025-12-11T15:49:43Z</dcterms:created>
  <dcterms:modified xsi:type="dcterms:W3CDTF">2025-12-11T15:49:43Z</dcterms:modified>
</cp:coreProperties>
</file>

<file path=docProps/custom.xml><?xml version="1.0" encoding="utf-8"?>
<Properties xmlns="http://schemas.openxmlformats.org/officeDocument/2006/custom-properties" xmlns:vt="http://schemas.openxmlformats.org/officeDocument/2006/docPropsVTypes"/>
</file>