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Evolution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3" w:name="Xf493d5866a38283157ace2b5f6de9a52a6a67b4"/>
    <w:p>
      <w:pPr>
        <w:pStyle w:val="Heading1"/>
      </w:pPr>
      <w:r>
        <w:t xml:space="preserve">Research Proposal: Advancing Orthodontic Excellence in Abu Dhabi, United Arab Emirates</w:t>
      </w:r>
    </w:p>
    <w:bookmarkStart w:id="20" w:name="introduction-and-background"/>
    <w:p>
      <w:pPr>
        <w:pStyle w:val="Heading2"/>
      </w:pPr>
      <w:r>
        <w:t xml:space="preserve">1. Introduction and Background</w:t>
      </w:r>
    </w:p>
    <w:p>
      <w:pPr>
        <w:pStyle w:val="FirstParagraph"/>
      </w:pPr>
      <w:r>
        <w:t xml:space="preserve">The field of orthodontics has witnessed remarkable transformation globally, yet its specialized evolution within the United Arab Emirates (UAE), particularly in Abu Dhabi, remains underexplored. As a dynamic hub of healthcare innovation and cultural diversity, Abu Dhabi presents unique opportunities to study orthodontic practices within a rapidly developing healthcare ecosystem. With the UAE's population growing by 4% annually and increasing awareness of oral health, demand for specialized orthodontic services has surged. This research proposal addresses the critical need for evidence-based insights into contemporary orthodontic care delivery in Abu Dhabi, aiming to establish benchmarks that align with both international standards and local demographic needs.</w:t>
      </w:r>
    </w:p>
    <w:bookmarkEnd w:id="20"/>
    <w:bookmarkStart w:id="21" w:name="problem-statement"/>
    <w:p>
      <w:pPr>
        <w:pStyle w:val="Heading2"/>
      </w:pPr>
      <w:r>
        <w:t xml:space="preserve">2. Problem Statement</w:t>
      </w:r>
    </w:p>
    <w:p>
      <w:pPr>
        <w:pStyle w:val="FirstParagraph"/>
      </w:pPr>
      <w:r>
        <w:t xml:space="preserve">Despite Abu Dhabi's status as a healthcare leader in the Gulf region, significant gaps exist in understanding the operational, cultural, and clinical dimensions of orthodontic practice within its diverse population. Current literature lacks comprehensive studies examining: (a) patient accessibility barriers across Emirati and expatriate communities; (b) alignment of treatment protocols with UAE's distinct genetic dental characteristics; (c) integration of digital technologies in orthodontic workflows; and (d) socioeconomic factors influencing treatment adherence. These gaps hinder the development of targeted healthcare policies, potentially compromising oral health outcomes for Abu Dhabi's 1.8 million residents, where 35% are under 25 years old—a key demographic for orthodontic intervention.</w:t>
      </w:r>
    </w:p>
    <w:bookmarkEnd w:id="21"/>
    <w:bookmarkStart w:id="22" w:name="research-objectives"/>
    <w:p>
      <w:pPr>
        <w:pStyle w:val="Heading2"/>
      </w:pPr>
      <w:r>
        <w:t xml:space="preserve">3. Research Objectives</w:t>
      </w:r>
    </w:p>
    <w:p>
      <w:pPr>
        <w:numPr>
          <w:ilvl w:val="0"/>
          <w:numId w:val="1001"/>
        </w:numPr>
        <w:pStyle w:val="Compact"/>
      </w:pPr>
      <w:r>
        <w:t xml:space="preserve">To evaluate current orthodontic service accessibility and utilization patterns across Abu Dhabi's public and private healthcare sectors.</w:t>
      </w:r>
    </w:p>
    <w:p>
      <w:pPr>
        <w:numPr>
          <w:ilvl w:val="0"/>
          <w:numId w:val="1001"/>
        </w:numPr>
        <w:pStyle w:val="Compact"/>
      </w:pPr>
      <w:r>
        <w:t xml:space="preserve">To analyze the prevalence of specific malocclusion types among Emirati versus expatriate youth populations, identifying genetic/environmental influences.</w:t>
      </w:r>
    </w:p>
    <w:p>
      <w:pPr>
        <w:numPr>
          <w:ilvl w:val="0"/>
          <w:numId w:val="1001"/>
        </w:numPr>
        <w:pStyle w:val="Compact"/>
      </w:pPr>
      <w:r>
        <w:t xml:space="preserve">To assess the adoption rates and clinical efficacy of digital orthodontic technologies (3D imaging, AI-driven treatment planning) in Abu Dhabi clinics.</w:t>
      </w:r>
    </w:p>
    <w:p>
      <w:pPr>
        <w:numPr>
          <w:ilvl w:val="0"/>
          <w:numId w:val="1001"/>
        </w:numPr>
        <w:pStyle w:val="Compact"/>
      </w:pPr>
      <w:r>
        <w:t xml:space="preserve">To develop a culturally responsive orthodontic care framework tailored to Abu Dhabi's societal values and healthcare infrastructure.</w:t>
      </w:r>
    </w:p>
    <w:bookmarkEnd w:id="22"/>
    <w:bookmarkStart w:id="23" w:name="X3562e31fd3438a4d2c061cecb7513104bf77683"/>
    <w:p>
      <w:pPr>
        <w:pStyle w:val="Heading2"/>
      </w:pPr>
      <w:r>
        <w:t xml:space="preserve">4. Literature Review: Contextualizing Orthodontics in UAE</w:t>
      </w:r>
    </w:p>
    <w:p>
      <w:pPr>
        <w:pStyle w:val="FirstParagraph"/>
      </w:pPr>
      <w:r>
        <w:t xml:space="preserve">Existing studies on Middle Eastern orthodontics primarily focus on Saudi Arabia and Egypt, with negligible research specific to Abu Dhabi. A 2021 study in the *Journal of Dentistry* noted higher incidences of Class II malocclusions among GCC populations compared to Western cohorts, but did not distinguish between Emirati and expatriate groups. The UAE's Vision 2030 emphasizes healthcare excellence through "Smart Hospitals," yet orthodontic digital integration remains inconsistent. Recent WHO reports highlight oral health as a priority in the Gulf Cooperation Council, though no UAE-specific orthodontic strategy exists. This research bridges these critical gaps by centering Abu Dhabi as the focal point for culturally contextualized orthodontic advancement.</w:t>
      </w:r>
    </w:p>
    <w:bookmarkEnd w:id="23"/>
    <w:bookmarkStart w:id="27" w:name="methodology"/>
    <w:p>
      <w:pPr>
        <w:pStyle w:val="Heading2"/>
      </w:pPr>
      <w:r>
        <w:t xml:space="preserve">5. Methodology</w:t>
      </w:r>
    </w:p>
    <w:p>
      <w:pPr>
        <w:pStyle w:val="FirstParagraph"/>
      </w:pPr>
      <w:r>
        <w:t xml:space="preserve">This mixed-methods study employs a 15-month phased approach across three Abu Dhabi districts (Madinat Zayed, Al Reem Island, and Al Dhafra):</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Sample:</w:t>
      </w:r>
      <w:r>
        <w:t xml:space="preserve"> </w:t>
      </w:r>
      <w:r>
        <w:t xml:space="preserve">250 orthodontic patients from public clinics (Abu Dhabi Health Services Company) and private practices across diverse age groups.</w:t>
      </w:r>
    </w:p>
    <w:p>
      <w:pPr>
        <w:numPr>
          <w:ilvl w:val="0"/>
          <w:numId w:val="1002"/>
        </w:numPr>
        <w:pStyle w:val="Compact"/>
      </w:pPr>
      <w:r>
        <w:rPr>
          <w:bCs/>
          <w:b/>
        </w:rPr>
        <w:t xml:space="preserve">Data Collection:</w:t>
      </w:r>
      <w:r>
        <w:t xml:space="preserve"> </w:t>
      </w:r>
      <w:r>
        <w:t xml:space="preserve">Patient surveys on accessibility, treatment satisfaction, and cultural considerations; clinical records analysis of malocclusion prevalence using Angle's classification.</w:t>
      </w:r>
    </w:p>
    <w:p>
      <w:pPr>
        <w:numPr>
          <w:ilvl w:val="0"/>
          <w:numId w:val="1002"/>
        </w:numPr>
        <w:pStyle w:val="Compact"/>
      </w:pPr>
      <w:r>
        <w:rPr>
          <w:bCs/>
          <w:b/>
        </w:rPr>
        <w:t xml:space="preserve">Tools:</w:t>
      </w:r>
      <w:r>
        <w:t xml:space="preserve"> </w:t>
      </w:r>
      <w:r>
        <w:t xml:space="preserve">Structured questionnaires translated into Arabic/English/French; validated dental software for malocclusion mapping.</w:t>
      </w:r>
    </w:p>
    <w:bookmarkEnd w:id="24"/>
    <w:bookmarkStart w:id="25" w:name="phase-2-qualitative-insight-months-7-10"/>
    <w:p>
      <w:pPr>
        <w:pStyle w:val="Heading3"/>
      </w:pPr>
      <w:r>
        <w:t xml:space="preserve">Phase 2: Qualitative Insight (Months 7-10)</w:t>
      </w:r>
    </w:p>
    <w:p>
      <w:pPr>
        <w:numPr>
          <w:ilvl w:val="0"/>
          <w:numId w:val="1003"/>
        </w:numPr>
        <w:pStyle w:val="Compact"/>
      </w:pPr>
      <w:r>
        <w:rPr>
          <w:bCs/>
          <w:b/>
        </w:rPr>
        <w:t xml:space="preserve">Focus Groups:</w:t>
      </w:r>
      <w:r>
        <w:t xml:space="preserve"> </w:t>
      </w:r>
      <w:r>
        <w:t xml:space="preserve">6 sessions with orthodontists (n=30), cultural consultants, and parents/caregivers to explore treatment adherence barriers.</w:t>
      </w:r>
    </w:p>
    <w:p>
      <w:pPr>
        <w:numPr>
          <w:ilvl w:val="0"/>
          <w:numId w:val="1003"/>
        </w:numPr>
        <w:pStyle w:val="Compact"/>
      </w:pPr>
      <w:r>
        <w:rPr>
          <w:bCs/>
          <w:b/>
        </w:rPr>
        <w:t xml:space="preserve">Technology Audit:</w:t>
      </w:r>
      <w:r>
        <w:t xml:space="preserve"> </w:t>
      </w:r>
      <w:r>
        <w:t xml:space="preserve">In-depth evaluation of digital tool adoption rates in 15 Abu Dhabi clinics.</w:t>
      </w:r>
    </w:p>
    <w:bookmarkEnd w:id="25"/>
    <w:bookmarkStart w:id="26" w:name="X461f86e6d6f047ce1d62327fe4c960ae0fab851"/>
    <w:p>
      <w:pPr>
        <w:pStyle w:val="Heading3"/>
      </w:pPr>
      <w:r>
        <w:t xml:space="preserve">Phase 3: Framework Development (Months 11-15)</w:t>
      </w:r>
    </w:p>
    <w:p>
      <w:pPr>
        <w:numPr>
          <w:ilvl w:val="0"/>
          <w:numId w:val="1004"/>
        </w:numPr>
        <w:pStyle w:val="Compact"/>
      </w:pPr>
      <w:r>
        <w:rPr>
          <w:bCs/>
          <w:b/>
        </w:rPr>
        <w:t xml:space="preserve">Actionable Model:</w:t>
      </w:r>
      <w:r>
        <w:t xml:space="preserve"> </w:t>
      </w:r>
      <w:r>
        <w:t xml:space="preserve">Co-creation workshop with Ministry of Health and Prevention (MoHP) officials to integrate findings into Abu Dhabi's dental service protocols.</w:t>
      </w:r>
    </w:p>
    <w:p>
      <w:pPr>
        <w:numPr>
          <w:ilvl w:val="0"/>
          <w:numId w:val="1004"/>
        </w:numPr>
        <w:pStyle w:val="Compact"/>
      </w:pPr>
      <w:r>
        <w:rPr>
          <w:bCs/>
          <w:b/>
        </w:rPr>
        <w:t xml:space="preserve">Dissemination:</w:t>
      </w:r>
      <w:r>
        <w:t xml:space="preserve"> </w:t>
      </w:r>
      <w:r>
        <w:t xml:space="preserve">Policy briefs, clinic training modules, and open-access database on UAE-specific orthodontic patterns.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Abu Dhabi's healthcare landscape:</w:t>
      </w:r>
    </w:p>
    <w:p>
      <w:pPr>
        <w:numPr>
          <w:ilvl w:val="0"/>
          <w:numId w:val="1005"/>
        </w:numPr>
        <w:pStyle w:val="Compact"/>
      </w:pPr>
      <w:r>
        <w:rPr>
          <w:bCs/>
          <w:b/>
        </w:rPr>
        <w:t xml:space="preserve">First-Ever UAE Orthodontic Atlas:</w:t>
      </w:r>
      <w:r>
        <w:t xml:space="preserve"> </w:t>
      </w:r>
      <w:r>
        <w:t xml:space="preserve">A geospatial database mapping malocclusion patterns across Abu Dhabi's neighborhoods, identifying high-need zones for resource allocation.</w:t>
      </w:r>
    </w:p>
    <w:p>
      <w:pPr>
        <w:numPr>
          <w:ilvl w:val="0"/>
          <w:numId w:val="1005"/>
        </w:numPr>
        <w:pStyle w:val="Compact"/>
      </w:pPr>
      <w:r>
        <w:rPr>
          <w:bCs/>
          <w:b/>
        </w:rPr>
        <w:t xml:space="preserve">Cultural Competency Framework:</w:t>
      </w:r>
      <w:r>
        <w:t xml:space="preserve"> </w:t>
      </w:r>
      <w:r>
        <w:t xml:space="preserve">Guidelines for orthodontists on navigating Emirati family dynamics, religious considerations (e.g., fasting during Ramadan), and multilingual patient communication.</w:t>
      </w:r>
    </w:p>
    <w:p>
      <w:pPr>
        <w:numPr>
          <w:ilvl w:val="0"/>
          <w:numId w:val="1005"/>
        </w:numPr>
        <w:pStyle w:val="Compact"/>
      </w:pPr>
      <w:r>
        <w:rPr>
          <w:bCs/>
          <w:b/>
        </w:rPr>
        <w:t xml:space="preserve">Digital Integration Blueprint:</w:t>
      </w:r>
      <w:r>
        <w:t xml:space="preserve"> </w:t>
      </w:r>
      <w:r>
        <w:t xml:space="preserve">Cost-benefit analysis for AI-assisted treatment planning, directly supporting Abu Dhabi's "Smart Health" initiative under the Department of Health (DoH).</w:t>
      </w:r>
    </w:p>
    <w:p>
      <w:pPr>
        <w:pStyle w:val="FirstParagraph"/>
      </w:pPr>
      <w:r>
        <w:t xml:space="preserve">The significance extends beyond clinical practice: By aligning orthodontic care with Abu Dhabi's strategic healthcare goals, this project will reduce long-term public health costs—untreated malocclusions correlate with 27% higher rates of dental trauma in youth (WHO, 2023). Crucially, it empowers Abu Dhabi to become a regional benchmark for culturally intelligent orthodontic care in the Gulf.</w:t>
      </w:r>
    </w:p>
    <w:bookmarkEnd w:id="28"/>
    <w:bookmarkStart w:id="29" w:name="X389130b374076b6254e9b0a511ba48bf24a414d"/>
    <w:p>
      <w:pPr>
        <w:pStyle w:val="Heading2"/>
      </w:pPr>
      <w:r>
        <w:t xml:space="preserve">7. Ethical Considerations and Local Alignment</w:t>
      </w:r>
    </w:p>
    <w:p>
      <w:pPr>
        <w:pStyle w:val="FirstParagraph"/>
      </w:pPr>
      <w:r>
        <w:t xml:space="preserve">All protocols comply with UAE Federal Law No. 16 of 2013 on Medical Research Ethics and Abu Dhabi's Code of Health Practice. Patient anonymity will be preserved through de-identified data handling, with consent processes adapted to Emirati cultural norms (e.g., involving family in consent discussions where appropriate). The study team includes Emirati orthodontic specialists and a MoHP ethics committee representative to ensure contextual sensitivity.</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Study Design &amp; Ethics Approval</w:t>
      </w:r>
    </w:p>
    <w:p>
      <w:pPr>
        <w:pStyle w:val="BodyText"/>
      </w:pPr>
      <w:r>
        <w:t xml:space="preserve">Month 1-2</w:t>
      </w:r>
    </w:p>
    <w:p>
      <w:pPr>
        <w:pStyle w:val="BodyText"/>
      </w:pPr>
      <w:r>
        <w:t xml:space="preserve">MoHP approval; final protocol document</w:t>
      </w:r>
    </w:p>
    <w:p>
      <w:pPr>
        <w:pStyle w:val="BodyText"/>
      </w:pPr>
      <w:r>
        <w:t xml:space="preserve">Data Collection &amp; Initial Analysis</w:t>
      </w:r>
    </w:p>
    <w:p>
      <w:pPr>
        <w:pStyle w:val="BodyText"/>
      </w:pPr>
      <w:r>
        <w:t xml:space="preserve">Months 3-8</w:t>
      </w:r>
    </w:p>
    <w:p>
      <w:pPr>
        <w:pStyle w:val="BodyText"/>
      </w:pPr>
      <w:r>
        <w:t xml:space="preserve">Preliminary malocclusion report; accessibility metrics</w:t>
      </w:r>
    </w:p>
    <w:p>
      <w:pPr>
        <w:pStyle w:val="BodyText"/>
      </w:pPr>
      <w:r>
        <w:t xml:space="preserve">Stakeholder Workshops &amp; Framework Drafting</w:t>
      </w:r>
    </w:p>
    <w:p>
      <w:pPr>
        <w:pStyle w:val="BodyText"/>
      </w:pPr>
      <w:r>
        <w:t xml:space="preserve">Months 9-12</w:t>
      </w:r>
    </w:p>
    <w:p>
      <w:pPr>
        <w:pStyle w:val="BodyText"/>
      </w:pPr>
      <w:r>
        <w:t xml:space="preserve">Cultural competency guidelines; digital audit report</w:t>
      </w:r>
    </w:p>
    <w:p>
      <w:pPr>
        <w:pStyle w:val="BodyText"/>
      </w:pPr>
      <w:r>
        <w:t xml:space="preserve">Final Report &amp; Policy Integration</w:t>
      </w:r>
    </w:p>
    <w:p>
      <w:pPr>
        <w:pStyle w:val="BodyText"/>
      </w:pPr>
      <w:r>
        <w:t xml:space="preserve">Months 13-15</w:t>
      </w:r>
    </w:p>
    <w:bookmarkEnd w:id="30"/>
    <w:bookmarkStart w:id="31" w:name="X505a2afdea81074341b3e3f1d58664071351348"/>
    <w:p>
      <w:pPr>
        <w:pStyle w:val="Heading2"/>
      </w:pPr>
      <w:r>
        <w:t xml:space="preserve">9. Conclusion: A Vision for Abu Dhabi's Orthodontic Future</w:t>
      </w:r>
    </w:p>
    <w:p>
      <w:pPr>
        <w:pStyle w:val="FirstParagraph"/>
      </w:pPr>
      <w:r>
        <w:t xml:space="preserve">This research proposal positions orthodontics as a strategic priority within Abu Dhabi's healthcare evolution. By centering the United Arab Emirates' unique demographic and cultural landscape, it moves beyond generic Western models to create a replicable framework for high-impact dental care. The findings will directly inform Abu Dhabi Health Services Company (SEHA) service expansions, guide private practice standards, and contribute to the UAE National Strategy for Oral Health 2030. Ultimately, this study promises not merely academic insight but a tangible pathway to healthier smiles across Abu Dhabi's communities—where every orthodontic consultation becomes an opportunity to advance the emirate’s vision of compassionate, future-ready healthcare.</w:t>
      </w:r>
    </w:p>
    <w:bookmarkEnd w:id="31"/>
    <w:bookmarkStart w:id="32" w:name="word-count-874"/>
    <w:p>
      <w:pPr>
        <w:pStyle w:val="Heading2"/>
      </w:pPr>
      <w:r>
        <w:t xml:space="preserve">Word Count: 874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Evolution in Abu Dhabi, United Arab Emirates</dc:title>
  <dc:creator/>
  <dc:language>en</dc:language>
  <cp:keywords/>
  <dcterms:created xsi:type="dcterms:W3CDTF">2026-07-23T19:52:12Z</dcterms:created>
  <dcterms:modified xsi:type="dcterms:W3CDTF">2026-07-23T19:52:12Z</dcterms:modified>
</cp:coreProperties>
</file>

<file path=docProps/custom.xml><?xml version="1.0" encoding="utf-8"?>
<Properties xmlns="http://schemas.openxmlformats.org/officeDocument/2006/custom-properties" xmlns:vt="http://schemas.openxmlformats.org/officeDocument/2006/docPropsVTypes"/>
</file>