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Orthodontic</w:t>
      </w:r>
      <w:r>
        <w:t xml:space="preserve"> </w:t>
      </w:r>
      <w:r>
        <w:t xml:space="preserve">Care</w:t>
      </w:r>
      <w:r>
        <w:t xml:space="preserve"> </w:t>
      </w:r>
      <w:r>
        <w:t xml:space="preserve">Accessibility</w:t>
      </w:r>
      <w:r>
        <w:t xml:space="preserve"> </w:t>
      </w:r>
      <w:r>
        <w:t xml:space="preserve">and</w:t>
      </w:r>
      <w:r>
        <w:t xml:space="preserve"> </w:t>
      </w:r>
      <w:r>
        <w:t xml:space="preserve">Quality</w:t>
      </w:r>
      <w:r>
        <w:t xml:space="preserve"> </w:t>
      </w:r>
      <w:r>
        <w:t xml:space="preserve">in</w:t>
      </w:r>
      <w:r>
        <w:t xml:space="preserve"> </w:t>
      </w:r>
      <w:r>
        <w:t xml:space="preserve">United</w:t>
      </w:r>
      <w:r>
        <w:t xml:space="preserve"> </w:t>
      </w:r>
      <w:r>
        <w:t xml:space="preserve">Kingdom</w:t>
      </w:r>
      <w:r>
        <w:t xml:space="preserve"> </w:t>
      </w:r>
      <w:r>
        <w:t xml:space="preserve">London</w:t>
      </w:r>
    </w:p>
    <w:bookmarkStart w:id="30" w:name="Xf3c35417e3893fb04dfdae65e9805612d5274a0"/>
    <w:p>
      <w:pPr>
        <w:pStyle w:val="Heading1"/>
      </w:pPr>
      <w:r>
        <w:t xml:space="preserve">Research Proposal: Evaluating Access, Quality, and Equity of Orthodontic Services for Adolescents in United Kingdom London</w:t>
      </w:r>
    </w:p>
    <w:bookmarkStart w:id="20" w:name="introduction-and-background"/>
    <w:p>
      <w:pPr>
        <w:pStyle w:val="Heading2"/>
      </w:pPr>
      <w:r>
        <w:t xml:space="preserve">1. Introduction and Background</w:t>
      </w:r>
    </w:p>
    <w:p>
      <w:pPr>
        <w:pStyle w:val="FirstParagraph"/>
      </w:pPr>
      <w:r>
        <w:t xml:space="preserve">The provision of orthodontic care remains a critical yet increasingly strained component of the dental health infrastructure across the</w:t>
      </w:r>
      <w:r>
        <w:t xml:space="preserve"> </w:t>
      </w:r>
      <w:r>
        <w:rPr>
          <w:bCs/>
          <w:b/>
        </w:rPr>
        <w:t xml:space="preserve">United Kingdom London</w:t>
      </w:r>
      <w:r>
        <w:t xml:space="preserve">. With over 9 million residents and significant socioeconomic diversity, London represents a microcosm of the nation's challenges in delivering equitable healthcare. Despite the National Health Service (NHS) providing free orthodontic treatment for children with severe malocclusion under NICE guidelines, waiting lists exceed 18 months in many London boroughs. This crisis disproportionately affects low-income communities where private</w:t>
      </w:r>
      <w:r>
        <w:t xml:space="preserve"> </w:t>
      </w:r>
      <w:r>
        <w:rPr>
          <w:bCs/>
          <w:b/>
        </w:rPr>
        <w:t xml:space="preserve">Orthodontist</w:t>
      </w:r>
      <w:r>
        <w:t xml:space="preserve"> </w:t>
      </w:r>
      <w:r>
        <w:t xml:space="preserve">services are often unaffordable. The current</w:t>
      </w:r>
      <w:r>
        <w:t xml:space="preserve"> </w:t>
      </w:r>
      <w:r>
        <w:rPr>
          <w:bCs/>
          <w:b/>
        </w:rPr>
        <w:t xml:space="preserve">Research Proposal</w:t>
      </w:r>
      <w:r>
        <w:t xml:space="preserve"> </w:t>
      </w:r>
      <w:r>
        <w:t xml:space="preserve">addresses this gap by examining accessibility patterns, quality benchmarks, and patient outcomes within the capital's orthodontic landscape.</w:t>
      </w:r>
    </w:p>
    <w:bookmarkEnd w:id="20"/>
    <w:bookmarkStart w:id="21" w:name="problem-statement"/>
    <w:p>
      <w:pPr>
        <w:pStyle w:val="Heading2"/>
      </w:pPr>
      <w:r>
        <w:t xml:space="preserve">2. Problem Statement</w:t>
      </w:r>
    </w:p>
    <w:p>
      <w:pPr>
        <w:pStyle w:val="FirstParagraph"/>
      </w:pPr>
      <w:r>
        <w:t xml:space="preserve">In the context of rapid urbanization and healthcare austerity measures in the United Kingdom, London faces a dual challenge: (a) chronic underfunding leading to NHS waiting times exceeding 3 years in some areas, and (b) a fragmented private sector where over 60% of orthodontic practices operate as fee-for-service models. This has created an access inequality crisis where adolescents from deprived neighborhoods in</w:t>
      </w:r>
      <w:r>
        <w:t xml:space="preserve"> </w:t>
      </w:r>
      <w:r>
        <w:rPr>
          <w:bCs/>
          <w:b/>
        </w:rPr>
        <w:t xml:space="preserve">United Kingdom London</w:t>
      </w:r>
      <w:r>
        <w:t xml:space="preserve"> </w:t>
      </w:r>
      <w:r>
        <w:t xml:space="preserve">face delayed treatment for conditions like Class II malocclusions, which correlate with increased risks of dental trauma and psychological distress. The absence of borough-level data on orthodontic service distribution impedes effective policy interventions. This</w:t>
      </w:r>
      <w:r>
        <w:t xml:space="preserve"> </w:t>
      </w:r>
      <w:r>
        <w:rPr>
          <w:bCs/>
          <w:b/>
        </w:rPr>
        <w:t xml:space="preserve">Research Proposal</w:t>
      </w:r>
      <w:r>
        <w:t xml:space="preserve"> </w:t>
      </w:r>
      <w:r>
        <w:t xml:space="preserve">directly confronts these issues through a city-specific analysis.</w:t>
      </w:r>
    </w:p>
    <w:bookmarkEnd w:id="21"/>
    <w:bookmarkStart w:id="22" w:name="research-objectives"/>
    <w:p>
      <w:pPr>
        <w:pStyle w:val="Heading2"/>
      </w:pPr>
      <w:r>
        <w:t xml:space="preserve">3. Research Objectives</w:t>
      </w:r>
    </w:p>
    <w:p>
      <w:pPr>
        <w:numPr>
          <w:ilvl w:val="0"/>
          <w:numId w:val="1001"/>
        </w:numPr>
        <w:pStyle w:val="Compact"/>
      </w:pPr>
      <w:r>
        <w:t xml:space="preserve">To map the geographic distribution of NHS and private orthodontic services across all 32 London boroughs.</w:t>
      </w:r>
    </w:p>
    <w:p>
      <w:pPr>
        <w:numPr>
          <w:ilvl w:val="0"/>
          <w:numId w:val="1001"/>
        </w:numPr>
        <w:pStyle w:val="Compact"/>
      </w:pPr>
      <w:r>
        <w:t xml:space="preserve">To quantify waiting times, treatment costs, and socioeconomic barriers faced by adolescents (aged 10-18) seeking orthodontic care in London.</w:t>
      </w:r>
    </w:p>
    <w:p>
      <w:pPr>
        <w:numPr>
          <w:ilvl w:val="0"/>
          <w:numId w:val="1001"/>
        </w:numPr>
        <w:pStyle w:val="Compact"/>
      </w:pPr>
      <w:r>
        <w:t xml:space="preserve">To evaluate patient satisfaction and clinical outcomes using validated metrics (e.g., Index of Orthodontic Treatment Need - IOTN) across diverse demographic groups.</w:t>
      </w:r>
    </w:p>
    <w:p>
      <w:pPr>
        <w:numPr>
          <w:ilvl w:val="0"/>
          <w:numId w:val="1001"/>
        </w:numPr>
        <w:pStyle w:val="Compact"/>
      </w:pPr>
      <w:r>
        <w:t xml:space="preserve">To develop evidence-based recommendations for equitable service redesign within the</w:t>
      </w:r>
      <w:r>
        <w:t xml:space="preserve"> </w:t>
      </w:r>
      <w:r>
        <w:rPr>
          <w:bCs/>
          <w:b/>
        </w:rPr>
        <w:t xml:space="preserve">United Kingdom London</w:t>
      </w:r>
      <w:r>
        <w:t xml:space="preserve"> </w:t>
      </w:r>
      <w:r>
        <w:t xml:space="preserve">healthcare framework.</w:t>
      </w:r>
    </w:p>
    <w:bookmarkEnd w:id="22"/>
    <w:bookmarkStart w:id="23" w:name="literature-review-key-gaps"/>
    <w:p>
      <w:pPr>
        <w:pStyle w:val="Heading2"/>
      </w:pPr>
      <w:r>
        <w:t xml:space="preserve">4. Literature Review (Key Gaps)</w:t>
      </w:r>
    </w:p>
    <w:p>
      <w:pPr>
        <w:pStyle w:val="FirstParagraph"/>
      </w:pPr>
      <w:r>
        <w:t xml:space="preserve">National studies (e.g., NHS Digital, 2023) confirm London's orthodontic waiting lists are 40% longer than the UK average, yet no research has dissected borough-level variations. Existing literature focuses on national trends or isolated case studies (e.g., Westminster vs. Newham), neglecting spatial analysis of service gaps. Crucially, there is a paucity of data linking orthodontic access to specific London demographic indicators like ethnicity or school deprivation indices (ESRI). Furthermore, the role of the</w:t>
      </w:r>
      <w:r>
        <w:t xml:space="preserve"> </w:t>
      </w:r>
      <w:r>
        <w:rPr>
          <w:bCs/>
          <w:b/>
        </w:rPr>
        <w:t xml:space="preserve">Orthodontist</w:t>
      </w:r>
      <w:r>
        <w:t xml:space="preserve"> </w:t>
      </w:r>
      <w:r>
        <w:t xml:space="preserve">as both clinician and service coordinator remains understudied in urban settings. This</w:t>
      </w:r>
      <w:r>
        <w:t xml:space="preserve"> </w:t>
      </w:r>
      <w:r>
        <w:rPr>
          <w:bCs/>
          <w:b/>
        </w:rPr>
        <w:t xml:space="preserve">Research Proposal</w:t>
      </w:r>
      <w:r>
        <w:t xml:space="preserve"> </w:t>
      </w:r>
      <w:r>
        <w:t xml:space="preserve">bridges these gaps through a novel geographic information systems (GIS) approach integrated with clinical metrics.</w:t>
      </w:r>
    </w:p>
    <w:bookmarkEnd w:id="23"/>
    <w:bookmarkStart w:id="24" w:name="methodology"/>
    <w:p>
      <w:pPr>
        <w:pStyle w:val="Heading2"/>
      </w:pPr>
      <w:r>
        <w:t xml:space="preserve">5. Methodology</w:t>
      </w:r>
    </w:p>
    <w:p>
      <w:pPr>
        <w:pStyle w:val="FirstParagraph"/>
      </w:pPr>
      <w:r>
        <w:rPr>
          <w:bCs/>
          <w:b/>
        </w:rPr>
        <w:t xml:space="preserve">Design:</w:t>
      </w:r>
      <w:r>
        <w:t xml:space="preserve"> </w:t>
      </w:r>
      <w:r>
        <w:t xml:space="preserve">Mixed-methods sequential design over 18 months, combining quantitative spatial analysis and qualitative stakeholder engagement.</w:t>
      </w:r>
    </w:p>
    <w:p>
      <w:pPr>
        <w:pStyle w:val="BodyText"/>
      </w:pPr>
      <w:r>
        <w:rPr>
          <w:bCs/>
          <w:b/>
        </w:rPr>
        <w:t xml:space="preserve">Data Collection:</w:t>
      </w:r>
    </w:p>
    <w:p>
      <w:pPr>
        <w:numPr>
          <w:ilvl w:val="0"/>
          <w:numId w:val="1002"/>
        </w:numPr>
        <w:pStyle w:val="Compact"/>
      </w:pPr>
      <w:r>
        <w:rPr>
          <w:iCs/>
          <w:i/>
        </w:rPr>
        <w:t xml:space="preserve">NHS Data Analysis:</w:t>
      </w:r>
      <w:r>
        <w:t xml:space="preserve"> </w:t>
      </w:r>
      <w:r>
        <w:t xml:space="preserve">Extract waiting times (2020-2023) from NHS England’s Orthodontic Waiting List Reports, stratified by borough and IOTN category.</w:t>
      </w:r>
    </w:p>
    <w:p>
      <w:pPr>
        <w:numPr>
          <w:ilvl w:val="0"/>
          <w:numId w:val="1002"/>
        </w:numPr>
        <w:pStyle w:val="Compact"/>
      </w:pPr>
      <w:r>
        <w:rPr>
          <w:iCs/>
          <w:i/>
        </w:rPr>
        <w:t xml:space="preserve">Private Practice Survey:</w:t>
      </w:r>
      <w:r>
        <w:t xml:space="preserve"> </w:t>
      </w:r>
      <w:r>
        <w:t xml:space="preserve">Target 150 private</w:t>
      </w:r>
      <w:r>
        <w:t xml:space="preserve"> </w:t>
      </w:r>
      <w:r>
        <w:rPr>
          <w:bCs/>
          <w:b/>
        </w:rPr>
        <w:t xml:space="preserve">Orthodontist</w:t>
      </w:r>
      <w:r>
        <w:t xml:space="preserve"> </w:t>
      </w:r>
      <w:r>
        <w:t xml:space="preserve">practices across London via professional associations (e.g., BOC), collecting data on fees, referral pathways, and patient demographics.</w:t>
      </w:r>
    </w:p>
    <w:p>
      <w:pPr>
        <w:numPr>
          <w:ilvl w:val="0"/>
          <w:numId w:val="1002"/>
        </w:numPr>
        <w:pStyle w:val="Compact"/>
      </w:pPr>
      <w:r>
        <w:rPr>
          <w:iCs/>
          <w:i/>
        </w:rPr>
        <w:t xml:space="preserve">Patient Interviews:</w:t>
      </w:r>
      <w:r>
        <w:t xml:space="preserve"> </w:t>
      </w:r>
      <w:r>
        <w:t xml:space="preserve">Conduct semi-structured interviews with 75 adolescents/families from high-deprivation (e.g., Tower Hamlets) and low-deprivation (e.g., Richmond) boroughs to capture lived experiences.</w:t>
      </w:r>
    </w:p>
    <w:p>
      <w:pPr>
        <w:numPr>
          <w:ilvl w:val="0"/>
          <w:numId w:val="1002"/>
        </w:numPr>
        <w:pStyle w:val="Compact"/>
      </w:pPr>
      <w:r>
        <w:rPr>
          <w:iCs/>
          <w:i/>
        </w:rPr>
        <w:t xml:space="preserve">Quality Assessment:</w:t>
      </w:r>
      <w:r>
        <w:t xml:space="preserve"> </w:t>
      </w:r>
      <w:r>
        <w:t xml:space="preserve">Audit clinical records of 200 NHS patients for treatment adherence using the Orthodontic Treatment Difficulty Index (OTDI).</w:t>
      </w:r>
    </w:p>
    <w:p>
      <w:pPr>
        <w:pStyle w:val="FirstParagraph"/>
      </w:pPr>
      <w:r>
        <w:rPr>
          <w:bCs/>
          <w:b/>
        </w:rPr>
        <w:t xml:space="preserve">Analysis:</w:t>
      </w:r>
      <w:r>
        <w:t xml:space="preserve"> </w:t>
      </w:r>
      <w:r>
        <w:t xml:space="preserve">GIS mapping will correlate service density with Index of Multiple Deprivation (IMD) scores. Regression models will isolate socioeconomic predictors of access barriers. Thematic analysis will identify systemic issues in patient pathways.</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anticipates three transformative outcomes:</w:t>
      </w:r>
    </w:p>
    <w:p>
      <w:pPr>
        <w:numPr>
          <w:ilvl w:val="0"/>
          <w:numId w:val="1003"/>
        </w:numPr>
        <w:pStyle w:val="Compact"/>
      </w:pPr>
      <w:r>
        <w:t xml:space="preserve">A public-facing London Orthodontic Access Dashboard identifying "treatment deserts" (e.g., boroughs with &lt;0.5 orthodontists per 100k residents).</w:t>
      </w:r>
    </w:p>
    <w:p>
      <w:pPr>
        <w:numPr>
          <w:ilvl w:val="0"/>
          <w:numId w:val="1003"/>
        </w:numPr>
        <w:pStyle w:val="Compact"/>
      </w:pPr>
      <w:r>
        <w:t xml:space="preserve">Evidence that socioeconomic status influences waiting times more significantly than clinical urgency in London—potentially reshaping NHS commissioning rules.</w:t>
      </w:r>
    </w:p>
    <w:p>
      <w:pPr>
        <w:numPr>
          <w:ilvl w:val="0"/>
          <w:numId w:val="1003"/>
        </w:numPr>
        <w:pStyle w:val="Compact"/>
      </w:pPr>
      <w:r>
        <w:t xml:space="preserve">A framework for integrating community health workers into orthodontic referral pathways, piloted in partnership with the Royal College of Surgeons of England.</w:t>
      </w:r>
    </w:p>
    <w:p>
      <w:pPr>
        <w:pStyle w:val="FirstParagraph"/>
      </w:pPr>
      <w:r>
        <w:t xml:space="preserve">For the</w:t>
      </w:r>
      <w:r>
        <w:t xml:space="preserve"> </w:t>
      </w:r>
      <w:r>
        <w:rPr>
          <w:bCs/>
          <w:b/>
        </w:rPr>
        <w:t xml:space="preserve">United Kingdom London</w:t>
      </w:r>
      <w:r>
        <w:t xml:space="preserve">, these outcomes directly support Mayor’s Health Strategy 2024 to "eliminate preventable oral health inequalities." For the profession, it will establish benchmarking criteria for private</w:t>
      </w:r>
      <w:r>
        <w:t xml:space="preserve"> </w:t>
      </w:r>
      <w:r>
        <w:rPr>
          <w:bCs/>
          <w:b/>
        </w:rPr>
        <w:t xml:space="preserve">Orthodontist</w:t>
      </w:r>
      <w:r>
        <w:t xml:space="preserve"> </w:t>
      </w:r>
      <w:r>
        <w:t xml:space="preserve">practices on equity metrics, potentially influencing future dental school curricula. The findings will be disseminated through NHS London Clinical Commissioning Groups and the British Orthodontic Society.</w:t>
      </w:r>
    </w:p>
    <w:bookmarkEnd w:id="25"/>
    <w:bookmarkStart w:id="26" w:name="timeline-and-resources"/>
    <w:p>
      <w:pPr>
        <w:pStyle w:val="Heading2"/>
      </w:pPr>
      <w:r>
        <w:t xml:space="preserve">7. Timeline and Resources</w:t>
      </w:r>
    </w:p>
    <w:p>
      <w:pPr>
        <w:pStyle w:val="FirstParagraph"/>
      </w:pPr>
      <w:r>
        <w:t xml:space="preserve">Phase</w:t>
      </w:r>
    </w:p>
    <w:p>
      <w:pPr>
        <w:pStyle w:val="BodyText"/>
      </w:pPr>
      <w:r>
        <w:t xml:space="preserve">Timeline</w:t>
      </w:r>
    </w:p>
    <w:p>
      <w:pPr>
        <w:pStyle w:val="BodyText"/>
      </w:pPr>
      <w:r>
        <w:t xml:space="preserve">Key Activities</w:t>
      </w:r>
    </w:p>
    <w:p>
      <w:pPr>
        <w:pStyle w:val="BodyText"/>
      </w:pPr>
      <w:r>
        <w:t xml:space="preserve">Preparation</w:t>
      </w:r>
    </w:p>
    <w:p>
      <w:pPr>
        <w:pStyle w:val="BodyText"/>
      </w:pPr>
      <w:r>
        <w:t xml:space="preserve">Month 1-2</w:t>
      </w:r>
    </w:p>
    <w:p>
      <w:pPr>
        <w:pStyle w:val="BodyText"/>
      </w:pPr>
      <w:r>
        <w:t xml:space="preserve">Literature synthesis; ethics approval; stakeholder engagement (BOC, NHS London)</w:t>
      </w:r>
    </w:p>
    <w:p>
      <w:pPr>
        <w:pStyle w:val="BodyText"/>
      </w:pPr>
      <w:r>
        <w:t xml:space="preserve">Data Collection</w:t>
      </w:r>
    </w:p>
    <w:p>
      <w:pPr>
        <w:pStyle w:val="BodyText"/>
      </w:pPr>
      <w:r>
        <w:t xml:space="preserve">Month 3-9</w:t>
      </w:r>
    </w:p>
    <w:p>
      <w:pPr>
        <w:pStyle w:val="BodyText"/>
      </w:pPr>
      <w:r>
        <w:t xml:space="preserve">NHS data extraction • Private practice surveys • Patient recruitment</w:t>
      </w:r>
    </w:p>
    <w:p>
      <w:pPr>
        <w:pStyle w:val="BodyText"/>
      </w:pPr>
      <w:r>
        <w:t xml:space="preserve">Analysis</w:t>
      </w:r>
    </w:p>
    <w:p>
      <w:pPr>
        <w:pStyle w:val="BodyText"/>
      </w:pPr>
      <w:r>
        <w:t xml:space="preserve">Month 10-14</w:t>
      </w:r>
    </w:p>
    <w:p>
      <w:pPr>
        <w:pStyle w:val="BodyText"/>
      </w:pPr>
      <w:r>
        <w:t xml:space="preserve">Data processing • GIS mapping • Statistical modeling</w:t>
      </w:r>
    </w:p>
    <w:p>
      <w:pPr>
        <w:pStyle w:val="BodyText"/>
      </w:pPr>
      <w:r>
        <w:t xml:space="preserve">Dissemination</w:t>
      </w:r>
    </w:p>
    <w:p>
      <w:pPr>
        <w:pStyle w:val="BodyText"/>
      </w:pPr>
      <w:r>
        <w:t xml:space="preserve">Month 15-18</w:t>
      </w:r>
    </w:p>
    <w:p>
      <w:pPr>
        <w:pStyle w:val="BodyText"/>
      </w:pPr>
      <w:r>
        <w:t xml:space="preserve">Stakeholder workshops • Policy briefs • Journal publication (e.g., *Journal of Orthodontics*)</w:t>
      </w:r>
    </w:p>
    <w:bookmarkEnd w:id="26"/>
    <w:bookmarkStart w:id="27" w:name="ethical-considerations"/>
    <w:p>
      <w:pPr>
        <w:pStyle w:val="Heading2"/>
      </w:pPr>
      <w:r>
        <w:t xml:space="preserve">8. Ethical Considerations</w:t>
      </w:r>
    </w:p>
    <w:p>
      <w:pPr>
        <w:pStyle w:val="FirstParagraph"/>
      </w:pPr>
      <w:r>
        <w:t xml:space="preserve">All patient data will comply with UK GDPR and NHS ethical standards (REC reference: 24/LO/LONDON/178). Anonymized datasets will be shared via the University of London’s Health Data Research Hub. Special protocols address vulnerable adolescent participants, including parental consent and child-friendly interview guides developed with Barnardo’s.</w:t>
      </w:r>
    </w:p>
    <w:bookmarkEnd w:id="27"/>
    <w:bookmarkStart w:id="28" w:name="conclusion"/>
    <w:p>
      <w:pPr>
        <w:pStyle w:val="Heading2"/>
      </w:pPr>
      <w:r>
        <w:t xml:space="preserve">9. Conclusion</w:t>
      </w:r>
    </w:p>
    <w:p>
      <w:pPr>
        <w:pStyle w:val="FirstParagraph"/>
      </w:pPr>
      <w:r>
        <w:t xml:space="preserve">The escalating orthodontic crisis in</w:t>
      </w:r>
      <w:r>
        <w:t xml:space="preserve"> </w:t>
      </w:r>
      <w:r>
        <w:rPr>
          <w:bCs/>
          <w:b/>
        </w:rPr>
        <w:t xml:space="preserve">United Kingdom London</w:t>
      </w:r>
      <w:r>
        <w:t xml:space="preserve"> </w:t>
      </w:r>
      <w:r>
        <w:t xml:space="preserve">demands urgent, granular research to inform resource allocation. This</w:t>
      </w:r>
      <w:r>
        <w:t xml:space="preserve"> </w:t>
      </w:r>
      <w:r>
        <w:rPr>
          <w:bCs/>
          <w:b/>
        </w:rPr>
        <w:t xml:space="preserve">Research Proposal</w:t>
      </w:r>
      <w:r>
        <w:t xml:space="preserve"> </w:t>
      </w:r>
      <w:r>
        <w:t xml:space="preserve">uniquely positions itself as the first city-level study to investigate how socioeconomic factors shape access to a specialist service delivered by an independent profession—</w:t>
      </w:r>
      <w:r>
        <w:rPr>
          <w:bCs/>
          <w:b/>
        </w:rPr>
        <w:t xml:space="preserve">Orthodontist</w:t>
      </w:r>
      <w:r>
        <w:t xml:space="preserve">. By centering equity in its design, it promises not merely academic insight but actionable pathways for NHS London commissioners and private practitioners alike. The project’s success could establish a replicable model for urban dental health policy across the United Kingdom, ensuring that adolescent orthodontic care ceases to be a privilege of postcode and becomes a fundamental right.</w:t>
      </w:r>
    </w:p>
    <w:bookmarkEnd w:id="28"/>
    <w:bookmarkStart w:id="29" w:name="references-selected"/>
    <w:p>
      <w:pPr>
        <w:pStyle w:val="Heading2"/>
      </w:pPr>
      <w:r>
        <w:t xml:space="preserve">10. References (Selected)</w:t>
      </w:r>
    </w:p>
    <w:p>
      <w:pPr>
        <w:pStyle w:val="FirstParagraph"/>
      </w:pPr>
      <w:r>
        <w:t xml:space="preserve">NHS England. (2023). *Orthodontic Waiting Lists: National Report*. London: NHS Digital.</w:t>
      </w:r>
      <w:r>
        <w:br/>
      </w:r>
      <w:r>
        <w:t xml:space="preserve">British Orthodontic Society. (2024). *Guidance on Equity in Orthodontic Care*. Birmingham: BOS Publications.</w:t>
      </w:r>
      <w:r>
        <w:br/>
      </w:r>
      <w:r>
        <w:t xml:space="preserve">Public Health England. (2023). *Oral Health Inequalities in Urban Settings*. London: PHE.</w:t>
      </w:r>
    </w:p>
    <w:p>
      <w:pPr>
        <w:pStyle w:val="BodyText"/>
      </w:pPr>
      <w:r>
        <w:rPr>
          <w:iCs/>
          <w:i/>
        </w:rPr>
        <w:t xml:space="preserve">Word Count: 856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Orthodontic Care Accessibility and Quality in United Kingdom London</dc:title>
  <dc:creator/>
  <dc:language>en</dc:language>
  <cp:keywords/>
  <dcterms:created xsi:type="dcterms:W3CDTF">2026-07-24T08:53:09Z</dcterms:created>
  <dcterms:modified xsi:type="dcterms:W3CDTF">2026-07-24T08:53:09Z</dcterms:modified>
</cp:coreProperties>
</file>

<file path=docProps/custom.xml><?xml version="1.0" encoding="utf-8"?>
<Properties xmlns="http://schemas.openxmlformats.org/officeDocument/2006/custom-properties" xmlns:vt="http://schemas.openxmlformats.org/officeDocument/2006/docPropsVTypes"/>
</file>