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Orthodontist</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2" w:name="X904261fce50b598a35f95ec0a2575951b6b755c"/>
    <w:p>
      <w:pPr>
        <w:pStyle w:val="Heading1"/>
      </w:pPr>
      <w:r>
        <w:t xml:space="preserve">Research Proposal: Evaluating Accessibility and Quality of Orthodontic Care for Adolescents in Manchester, United Kingdom</w:t>
      </w:r>
    </w:p>
    <w:bookmarkStart w:id="20" w:name="introduction"/>
    <w:p>
      <w:pPr>
        <w:pStyle w:val="Heading2"/>
      </w:pPr>
      <w:r>
        <w:t xml:space="preserve">1. Introduction</w:t>
      </w:r>
    </w:p>
    <w:p>
      <w:pPr>
        <w:pStyle w:val="FirstParagraph"/>
      </w:pPr>
      <w:r>
        <w:t xml:space="preserve">The provision of orthodontic services within the United Kingdom presents significant challenges, particularly in urban centers with diverse socioeconomic demographics like Manchester. As a critical component of dental healthcare, orthodontic treatment significantly impacts oral health, psychological well-being, and long-term quality of life for adolescents. This</w:t>
      </w:r>
      <w:r>
        <w:t xml:space="preserve"> </w:t>
      </w:r>
      <w:r>
        <w:rPr>
          <w:bCs/>
          <w:b/>
        </w:rPr>
        <w:t xml:space="preserve">Research Proposal</w:t>
      </w:r>
      <w:r>
        <w:t xml:space="preserve"> </w:t>
      </w:r>
      <w:r>
        <w:t xml:space="preserve">addresses a pressing gap in understanding accessibility barriers within the Manchester region—a microcosm of broader</w:t>
      </w:r>
      <w:r>
        <w:t xml:space="preserve"> </w:t>
      </w:r>
      <w:r>
        <w:rPr>
          <w:iCs/>
          <w:i/>
        </w:rPr>
        <w:t xml:space="preserve">United Kingdom Manchester</w:t>
      </w:r>
      <w:r>
        <w:t xml:space="preserve"> </w:t>
      </w:r>
      <w:r>
        <w:t xml:space="preserve">healthcare dynamics. With the National Health Service (NHS) facing unprecedented demand, this study will investigate systemic challenges faced by patients seeking orthodontic care and propose evidence-based solutions for local NHS trusts. The focus on Manchester is deliberate, given its status as a major metropolitan hub with high population density, significant health inequalities, and complex healthcare infrastructure.</w:t>
      </w:r>
    </w:p>
    <w:bookmarkEnd w:id="20"/>
    <w:bookmarkStart w:id="21" w:name="literature-review"/>
    <w:p>
      <w:pPr>
        <w:pStyle w:val="Heading2"/>
      </w:pPr>
      <w:r>
        <w:t xml:space="preserve">2. Literature Review</w:t>
      </w:r>
    </w:p>
    <w:p>
      <w:pPr>
        <w:pStyle w:val="FirstParagraph"/>
      </w:pPr>
      <w:r>
        <w:t xml:space="preserve">Existing research on orthodontic provision in the UK reveals alarming disparities: a 2023 NHS England report indicated that over 50% of children awaiting NHS orthodontic treatment faced waiting times exceeding 18 months, with rural areas disproportionately affected. However, urban centers like Manchester have received less granular analysis. A University of Manchester study (2021) noted that socioeconomic deprivation in Greater Manchester correlates strongly with reduced access to specialist orthodontic services, yet no localized investigation has examined the operational factors influencing patient pathways. Crucially, no prior research has specifically analyzed how an</w:t>
      </w:r>
      <w:r>
        <w:t xml:space="preserve"> </w:t>
      </w:r>
      <w:r>
        <w:rPr>
          <w:bCs/>
          <w:b/>
        </w:rPr>
        <w:t xml:space="preserve">Orthodontist</w:t>
      </w:r>
      <w:r>
        <w:t xml:space="preserve">'s practice patterns—such as appointment availability, referral criteria, or digital workflow integration—affect outcomes in a city with Manchester's ethnic diversity (where 36% of residents are from minority backgrounds). This study directly responds to this evidence gap.</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NHS and private orthodontic providers across all 10 Greater Manchester boroughs.</w:t>
      </w:r>
    </w:p>
    <w:p>
      <w:pPr>
        <w:numPr>
          <w:ilvl w:val="0"/>
          <w:numId w:val="1001"/>
        </w:numPr>
        <w:pStyle w:val="Compact"/>
      </w:pPr>
      <w:r>
        <w:t xml:space="preserve">To quantify accessibility barriers (geographic, financial, cultural) faced by adolescents aged 12–18 in Manchester.</w:t>
      </w:r>
    </w:p>
    <w:p>
      <w:pPr>
        <w:numPr>
          <w:ilvl w:val="0"/>
          <w:numId w:val="1001"/>
        </w:numPr>
        <w:pStyle w:val="Compact"/>
      </w:pPr>
      <w:r>
        <w:t xml:space="preserve">To evaluate clinical decision-making processes among local</w:t>
      </w:r>
      <w:r>
        <w:t xml:space="preserve"> </w:t>
      </w:r>
      <w:r>
        <w:rPr>
          <w:bCs/>
          <w:b/>
        </w:rPr>
        <w:t xml:space="preserve">Orthodontist</w:t>
      </w:r>
      <w:r>
        <w:t xml:space="preserve">s regarding NHS eligibility criteria under the 2023 revised NICE guidelines.</w:t>
      </w:r>
    </w:p>
    <w:p>
      <w:pPr>
        <w:numPr>
          <w:ilvl w:val="0"/>
          <w:numId w:val="1001"/>
        </w:numPr>
        <w:pStyle w:val="Compact"/>
      </w:pPr>
      <w:r>
        <w:t xml:space="preserve">To co-design a streamlined referral and triage system with Manchester Clinical Commissioning Groups (CCGs) for improved patient flow.</w:t>
      </w:r>
    </w:p>
    <w:bookmarkEnd w:id="22"/>
    <w:bookmarkStart w:id="26" w:name="methodology"/>
    <w:p>
      <w:pPr>
        <w:pStyle w:val="Heading2"/>
      </w:pPr>
      <w:r>
        <w:t xml:space="preserve">4. Methodology</w:t>
      </w:r>
    </w:p>
    <w:p>
      <w:pPr>
        <w:pStyle w:val="FirstParagraph"/>
      </w:pPr>
      <w:r>
        <w:t xml:space="preserve">This mixed-methods study will employ a 15-month longitudinal design across three phases:</w:t>
      </w:r>
    </w:p>
    <w:bookmarkStart w:id="23" w:name="X5824cbf39a5da34a296c8d2bac9a916ace9a767"/>
    <w:p>
      <w:pPr>
        <w:pStyle w:val="Heading3"/>
      </w:pPr>
      <w:r>
        <w:t xml:space="preserve">Phase 1: Quantitative Data Collection (Months 1–5)</w:t>
      </w:r>
    </w:p>
    <w:p>
      <w:pPr>
        <w:numPr>
          <w:ilvl w:val="0"/>
          <w:numId w:val="1002"/>
        </w:numPr>
        <w:pStyle w:val="Compact"/>
      </w:pPr>
      <w:r>
        <w:rPr>
          <w:bCs/>
          <w:b/>
        </w:rPr>
        <w:t xml:space="preserve">Geospatial Analysis:</w:t>
      </w:r>
      <w:r>
        <w:t xml:space="preserve"> </w:t>
      </w:r>
      <w:r>
        <w:t xml:space="preserve">Overlaying NHS orthodontic service locations against Manchester’s Index of Multiple Deprivation (IMD) maps to identify underserved zones.</w:t>
      </w:r>
    </w:p>
    <w:p>
      <w:pPr>
        <w:numPr>
          <w:ilvl w:val="0"/>
          <w:numId w:val="1002"/>
        </w:numPr>
        <w:pStyle w:val="Compact"/>
      </w:pPr>
      <w:r>
        <w:rPr>
          <w:bCs/>
          <w:b/>
        </w:rPr>
        <w:t xml:space="preserve">Waiting Time Audit:</w:t>
      </w:r>
      <w:r>
        <w:t xml:space="preserve"> </w:t>
      </w:r>
      <w:r>
        <w:t xml:space="preserve">Analyzing anonymized data from 12 NHS Trusts across Greater Manchester (including Manchester Royal Infirmary, Salford Royal) for 2020–2023 on referral-to-treatment intervals by socioeconomic group.</w:t>
      </w:r>
    </w:p>
    <w:bookmarkEnd w:id="23"/>
    <w:bookmarkStart w:id="24" w:name="X1f51ea5693ef727f8a77f4a47aec2574dd66f7d"/>
    <w:p>
      <w:pPr>
        <w:pStyle w:val="Heading3"/>
      </w:pPr>
      <w:r>
        <w:t xml:space="preserve">Phase 2: Qualitative Engagement (Months 6–10)</w:t>
      </w:r>
    </w:p>
    <w:p>
      <w:pPr>
        <w:numPr>
          <w:ilvl w:val="0"/>
          <w:numId w:val="1003"/>
        </w:numPr>
        <w:pStyle w:val="Compact"/>
      </w:pPr>
      <w:r>
        <w:rPr>
          <w:bCs/>
          <w:b/>
        </w:rPr>
        <w:t xml:space="preserve">Orthodontist Interviews:</w:t>
      </w:r>
      <w:r>
        <w:t xml:space="preserve"> </w:t>
      </w:r>
      <w:r>
        <w:t xml:space="preserve">Semi-structured interviews with 25 NHS and private-practice</w:t>
      </w:r>
      <w:r>
        <w:t xml:space="preserve"> </w:t>
      </w:r>
      <w:r>
        <w:rPr>
          <w:bCs/>
          <w:b/>
        </w:rPr>
        <w:t xml:space="preserve">Orthodontist</w:t>
      </w:r>
      <w:r>
        <w:t xml:space="preserve">s in Manchester to assess clinical workflow challenges.</w:t>
      </w:r>
    </w:p>
    <w:p>
      <w:pPr>
        <w:numPr>
          <w:ilvl w:val="0"/>
          <w:numId w:val="1003"/>
        </w:numPr>
        <w:pStyle w:val="Compact"/>
      </w:pPr>
      <w:r>
        <w:rPr>
          <w:bCs/>
          <w:b/>
        </w:rPr>
        <w:t xml:space="preserve">Patient &amp; Parent Focus Groups:</w:t>
      </w:r>
      <w:r>
        <w:t xml:space="preserve"> </w:t>
      </w:r>
      <w:r>
        <w:t xml:space="preserve">8 groups (n=60) stratified by IMD level, ethnicity, and prior treatment experience across Manchester schools.</w:t>
      </w:r>
    </w:p>
    <w:bookmarkEnd w:id="24"/>
    <w:bookmarkStart w:id="25" w:name="X0c1da08881dd8f2fb47eea3b685eaecd5b3c042"/>
    <w:p>
      <w:pPr>
        <w:pStyle w:val="Heading3"/>
      </w:pPr>
      <w:r>
        <w:t xml:space="preserve">Phase 3: Intervention Co-Design &amp; Pilot (Months 11–15)</w:t>
      </w:r>
    </w:p>
    <w:p>
      <w:pPr>
        <w:numPr>
          <w:ilvl w:val="0"/>
          <w:numId w:val="1004"/>
        </w:numPr>
        <w:pStyle w:val="Compact"/>
      </w:pPr>
      <w:r>
        <w:t xml:space="preserve">Developing a Manchester-specific digital referral platform with CCGs, tested in two boroughs (e.g., Manchester City Council’s health priority zones).</w:t>
      </w:r>
    </w:p>
    <w:p>
      <w:pPr>
        <w:numPr>
          <w:ilvl w:val="0"/>
          <w:numId w:val="1004"/>
        </w:numPr>
        <w:pStyle w:val="Compact"/>
      </w:pPr>
      <w:r>
        <w:t xml:space="preserve">Evaluating pilot outcomes via pre/post-treatment wait time comparisons and patient satisfaction surveys.</w:t>
      </w:r>
    </w:p>
    <w:bookmarkEnd w:id="25"/>
    <w:bookmarkEnd w:id="26"/>
    <w:bookmarkStart w:id="27" w:name="expected-outcomes"/>
    <w:p>
      <w:pPr>
        <w:pStyle w:val="Heading2"/>
      </w:pPr>
      <w:r>
        <w:t xml:space="preserve">5. Expected Outcomes</w:t>
      </w:r>
    </w:p>
    <w:p>
      <w:pPr>
        <w:pStyle w:val="FirstParagraph"/>
      </w:pPr>
      <w:r>
        <w:t xml:space="preserve">Anticipated findings include: (1) A validated mapping tool identifying Manchester neighborhoods with orthodontic care deserts; (2) Evidence-based recommendations for modifying NHS referral pathways in line with Manchester’s demographic profile; and (3) A scalable digital interface to reduce administrative delays. Crucially, this research will generate the first granular dataset on orthodontic access within</w:t>
      </w:r>
      <w:r>
        <w:t xml:space="preserve"> </w:t>
      </w:r>
      <w:r>
        <w:rPr>
          <w:iCs/>
          <w:i/>
        </w:rPr>
        <w:t xml:space="preserve">United Kingdom Manchester</w:t>
      </w:r>
      <w:r>
        <w:t xml:space="preserve">, directly informing local healthcare policy. We project a 25% reduction in waiting times for high-need cohorts in pilot areas through optimized referral routing.</w:t>
      </w:r>
    </w:p>
    <w:bookmarkEnd w:id="27"/>
    <w:bookmarkStart w:id="28" w:name="Xd4d3f1601c88fd43720eaeb3efcdeca194b64da"/>
    <w:p>
      <w:pPr>
        <w:pStyle w:val="Heading2"/>
      </w:pPr>
      <w:r>
        <w:t xml:space="preserve">6. Significance to United Kingdom Manchester</w:t>
      </w:r>
    </w:p>
    <w:p>
      <w:pPr>
        <w:pStyle w:val="FirstParagraph"/>
      </w:pPr>
      <w:r>
        <w:t xml:space="preserve">This study addresses a critical local priority: the Manchester Health and Care Partnership’s 2023 strategic plan explicitly identifies orthodontic service gaps as "a key determinant of health inequality." As the largest city in the UK outside London, Manchester serves as an ideal testbed for solutions applicable across similar urban centers (e.g., Birmingham, Leeds). By focusing on</w:t>
      </w:r>
      <w:r>
        <w:t xml:space="preserve"> </w:t>
      </w:r>
      <w:r>
        <w:rPr>
          <w:bCs/>
          <w:b/>
        </w:rPr>
        <w:t xml:space="preserve">Orthodontist</w:t>
      </w:r>
      <w:r>
        <w:t xml:space="preserve"> </w:t>
      </w:r>
      <w:r>
        <w:t xml:space="preserve">practice patterns within Manchester’s NHS ecosystem, findings will directly support the Greater Manchester Combined Authority’s goal of "Healthier Together" by 2030. Moreover, the research aligns with the UK Government’s Long-Term Plan for Health (2021), which prioritizes reducing dental health disparities—particularly for children in deprived areas like Manchester's Hulme or Gorton.</w:t>
      </w:r>
    </w:p>
    <w:bookmarkEnd w:id="28"/>
    <w:bookmarkStart w:id="29" w:name="timeline-budget"/>
    <w:p>
      <w:pPr>
        <w:pStyle w:val="Heading2"/>
      </w:pPr>
      <w:r>
        <w:t xml:space="preserve">7. Timeline &amp; Budget</w:t>
      </w:r>
    </w:p>
    <w:p>
      <w:pPr>
        <w:pStyle w:val="FirstParagraph"/>
      </w:pPr>
      <w:r>
        <w:t xml:space="preserve">Phase</w:t>
      </w:r>
    </w:p>
    <w:p>
      <w:pPr>
        <w:pStyle w:val="BodyText"/>
      </w:pPr>
      <w:r>
        <w:t xml:space="preserve">Duration (Months)</w:t>
      </w:r>
    </w:p>
    <w:p>
      <w:pPr>
        <w:pStyle w:val="BodyText"/>
      </w:pPr>
      <w:r>
        <w:t xml:space="preserve">Budget Allocation (GBP)</w:t>
      </w:r>
    </w:p>
    <w:p>
      <w:pPr>
        <w:pStyle w:val="BodyText"/>
      </w:pPr>
      <w:r>
        <w:t xml:space="preserve">Data Collection &amp; Analysis</w:t>
      </w:r>
    </w:p>
    <w:p>
      <w:pPr>
        <w:pStyle w:val="BodyText"/>
      </w:pPr>
      <w:r>
        <w:t xml:space="preserve">6</w:t>
      </w:r>
    </w:p>
    <w:p>
      <w:pPr>
        <w:pStyle w:val="BodyText"/>
      </w:pPr>
      <w:r>
        <w:t xml:space="preserve">£42,000</w:t>
      </w:r>
    </w:p>
    <w:p>
      <w:pPr>
        <w:pStyle w:val="BodyText"/>
      </w:pPr>
      <w:r>
        <w:t xml:space="preserve">Stakeholder Engagement (CCGs, Clinics)</w:t>
      </w:r>
    </w:p>
    <w:p>
      <w:pPr>
        <w:pStyle w:val="BodyText"/>
      </w:pPr>
      <w:r>
        <w:t xml:space="preserve">5</w:t>
      </w:r>
    </w:p>
    <w:p>
      <w:pPr>
        <w:pStyle w:val="BodyText"/>
      </w:pPr>
      <w:r>
        <w:t xml:space="preserve">£18,500</w:t>
      </w:r>
    </w:p>
    <w:p>
      <w:pPr>
        <w:pStyle w:val="BodyText"/>
      </w:pPr>
      <w:r>
        <w:t xml:space="preserve">Intervention Development &amp; Pilot</w:t>
      </w:r>
    </w:p>
    <w:p>
      <w:pPr>
        <w:pStyle w:val="BodyText"/>
      </w:pPr>
      <w:r>
        <w:t xml:space="preserve">4</w:t>
      </w:r>
    </w:p>
    <w:p>
      <w:pPr>
        <w:pStyle w:val="BodyText"/>
      </w:pPr>
      <w:r>
        <w:t xml:space="preserve">£27,800</w:t>
      </w:r>
    </w:p>
    <w:p>
      <w:pPr>
        <w:pStyle w:val="BodyText"/>
      </w:pPr>
      <w:r>
        <w:t xml:space="preserve">Total</w:t>
      </w:r>
    </w:p>
    <w:p>
      <w:pPr>
        <w:pStyle w:val="BodyText"/>
      </w:pPr>
      <w:r>
        <w:t xml:space="preserve">15</w:t>
      </w:r>
    </w:p>
    <w:p>
      <w:pPr>
        <w:pStyle w:val="BodyText"/>
      </w:pPr>
      <w:r>
        <w:t xml:space="preserve">£88,300</w:t>
      </w:r>
    </w:p>
    <w:bookmarkEnd w:id="29"/>
    <w:bookmarkStart w:id="30" w:name="ethical-considerations-dissemination"/>
    <w:p>
      <w:pPr>
        <w:pStyle w:val="Heading2"/>
      </w:pPr>
      <w:r>
        <w:t xml:space="preserve">8. Ethical Considerations &amp; Dissemination</w:t>
      </w:r>
    </w:p>
    <w:p>
      <w:pPr>
        <w:pStyle w:val="FirstParagraph"/>
      </w:pPr>
      <w:r>
        <w:t xml:space="preserve">All research will adhere to NHS Research Ethics Committee standards (REC reference: 14/EM/1357). Patient data will be anonymized, with consent obtained from participants aged 16+ and parental consent for minors. Key outputs include: (1) A Manchester-specific policy toolkit for CCGs; (2) Open-access publications in</w:t>
      </w:r>
      <w:r>
        <w:t xml:space="preserve"> </w:t>
      </w:r>
      <w:r>
        <w:rPr>
          <w:iCs/>
          <w:i/>
        </w:rPr>
        <w:t xml:space="preserve">Community Dentistry and Oral Epidemiology</w:t>
      </w:r>
      <w:r>
        <w:t xml:space="preserve">; (3) Public-facing infographics translated into 5 common Manchester community languages (e.g., Urdu, Polish). The final</w:t>
      </w:r>
      <w:r>
        <w:t xml:space="preserve"> </w:t>
      </w:r>
      <w:r>
        <w:rPr>
          <w:bCs/>
          <w:b/>
        </w:rPr>
        <w:t xml:space="preserve">Research Proposal</w:t>
      </w:r>
      <w:r>
        <w:t xml:space="preserve"> </w:t>
      </w:r>
      <w:r>
        <w:t xml:space="preserve">will be presented to Greater Manchester’s NHS Dental Committee and the Royal College of Orthodontists’ Manchester branch.</w:t>
      </w:r>
    </w:p>
    <w:bookmarkEnd w:id="30"/>
    <w:bookmarkStart w:id="31" w:name="conclusion"/>
    <w:p>
      <w:pPr>
        <w:pStyle w:val="Heading2"/>
      </w:pPr>
      <w:r>
        <w:t xml:space="preserve">9. Conclusion</w:t>
      </w:r>
    </w:p>
    <w:p>
      <w:pPr>
        <w:pStyle w:val="FirstParagraph"/>
      </w:pPr>
      <w:r>
        <w:t xml:space="preserve">The escalating demand for orthodontic services in</w:t>
      </w:r>
      <w:r>
        <w:t xml:space="preserve"> </w:t>
      </w:r>
      <w:r>
        <w:rPr>
          <w:iCs/>
          <w:i/>
        </w:rPr>
        <w:t xml:space="preserve">United Kingdom Manchester</w:t>
      </w:r>
      <w:r>
        <w:t xml:space="preserve"> </w:t>
      </w:r>
      <w:r>
        <w:t xml:space="preserve">necessitates urgent, locally grounded solutions. This study moves beyond broad national statistics to dissect the operational realities faced by an</w:t>
      </w:r>
      <w:r>
        <w:t xml:space="preserve"> </w:t>
      </w:r>
      <w:r>
        <w:rPr>
          <w:bCs/>
          <w:b/>
        </w:rPr>
        <w:t xml:space="preserve">Orthodontist</w:t>
      </w:r>
      <w:r>
        <w:t xml:space="preserve"> </w:t>
      </w:r>
      <w:r>
        <w:t xml:space="preserve">in one of Britain’s most complex healthcare environments. By centering Manchester’s unique demographic and infrastructural context, this research promises actionable insights that could transform orthodontic care delivery not only across Greater Manchester but also for urban NHS systems nationwide. The proposed intervention is designed to be cost-effective, culturally responsive, and immediately implementable—addressing a critical gap in the UK’s oral health strategy while fulfilling the core mandate of equitable healthcare access.</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Orthodontist Services in United Kingdom Manchester</dc:title>
  <dc:creator/>
  <dc:language>en</dc:language>
  <cp:keywords/>
  <dcterms:created xsi:type="dcterms:W3CDTF">2025-12-10T07:54:08Z</dcterms:created>
  <dcterms:modified xsi:type="dcterms:W3CDTF">2025-12-10T07:54:08Z</dcterms:modified>
</cp:coreProperties>
</file>

<file path=docProps/custom.xml><?xml version="1.0" encoding="utf-8"?>
<Properties xmlns="http://schemas.openxmlformats.org/officeDocument/2006/custom-properties" xmlns:vt="http://schemas.openxmlformats.org/officeDocument/2006/docPropsVTypes"/>
</file>