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0" w:name="X621a5a35795b0a9bcc25854b15e75b93fdd9056"/>
    <w:p>
      <w:pPr>
        <w:pStyle w:val="Heading1"/>
      </w:pPr>
      <w:r>
        <w:t xml:space="preserve">Research Proposal: Advancing Sustainable Petroleum Engineering Practices for Australia's Energy Transition in Melbourne</w:t>
      </w:r>
    </w:p>
    <w:bookmarkStart w:id="20" w:name="introduction-and-background"/>
    <w:p>
      <w:pPr>
        <w:pStyle w:val="Heading2"/>
      </w:pPr>
      <w:r>
        <w:t xml:space="preserve">1. Introduction and Background</w:t>
      </w:r>
    </w:p>
    <w:p>
      <w:pPr>
        <w:pStyle w:val="FirstParagraph"/>
      </w:pPr>
      <w:r>
        <w:t xml:space="preserve">The global energy landscape is undergoing unprecedented transformation, with petroleum engineering evolving from conventional extraction to integrated sustainable resource management. In Australia, this shift is particularly significant as the nation navigates its dual role as a major energy exporter and climate leader. Melbourne, as Australia's second-largest city and a burgeoning hub for clean energy innovation, presents a unique opportunity to position</w:t>
      </w:r>
      <w:r>
        <w:t xml:space="preserve"> </w:t>
      </w:r>
      <w:r>
        <w:rPr>
          <w:iCs/>
          <w:i/>
        </w:rPr>
        <w:t xml:space="preserve">Petroleum Engineer</w:t>
      </w:r>
      <w:r>
        <w:t xml:space="preserve"> </w:t>
      </w:r>
      <w:r>
        <w:t xml:space="preserve">expertise at the forefront of this transition. This</w:t>
      </w:r>
      <w:r>
        <w:t xml:space="preserve"> </w:t>
      </w:r>
      <w:r>
        <w:rPr>
          <w:bCs/>
          <w:b/>
        </w:rPr>
        <w:t xml:space="preserve">Research Proposal</w:t>
      </w:r>
      <w:r>
        <w:t xml:space="preserve"> </w:t>
      </w:r>
      <w:r>
        <w:t xml:space="preserve">outlines an ambitious project to develop next-generation petroleum engineering frameworks that harmonize resource extraction with decarbonization imperatives, specifically tailored for Australia's geological context and Melbourne's strategic positioning as a knowledge center.</w:t>
      </w:r>
    </w:p>
    <w:bookmarkEnd w:id="20"/>
    <w:bookmarkStart w:id="21" w:name="problem-statement"/>
    <w:p>
      <w:pPr>
        <w:pStyle w:val="Heading2"/>
      </w:pPr>
      <w:r>
        <w:t xml:space="preserve">2. Problem Statement</w:t>
      </w:r>
    </w:p>
    <w:p>
      <w:pPr>
        <w:pStyle w:val="FirstParagraph"/>
      </w:pPr>
      <w:r>
        <w:t xml:space="preserve">Australia's petroleum industry faces mounting pressure to reduce emissions intensity while maintaining energy security. Current practices often treat carbon management as an afterthought rather than an integrated engineering principle. Crucially, Melbourne—though not a traditional oil and gas production center—hosts major corporate headquarters (e.g., Woodside Energy, Santos), leading research institutions (University of Melbourne, Monash University), and the Australian Energy Market Operator (AEMO). This creates a fertile environment for innovation where</w:t>
      </w:r>
      <w:r>
        <w:t xml:space="preserve"> </w:t>
      </w:r>
      <w:r>
        <w:rPr>
          <w:iCs/>
          <w:i/>
        </w:rPr>
        <w:t xml:space="preserve">Petroleum Engineer</w:t>
      </w:r>
      <w:r>
        <w:t xml:space="preserve"> </w:t>
      </w:r>
      <w:r>
        <w:t xml:space="preserve">professionals can leverage Melbourne's academic-industry ecosystem to pioneer solutions. However, existing frameworks lack the interdisciplinary integration needed to address Australia's specific challenges: complex geology, remote infrastructure constraints, and urgent decarbonization targets under the Australian Government's 2050 net-zero commitment.</w:t>
      </w:r>
    </w:p>
    <w:bookmarkEnd w:id="21"/>
    <w:bookmarkStart w:id="22" w:name="research-objectives"/>
    <w:p>
      <w:pPr>
        <w:pStyle w:val="Heading2"/>
      </w:pPr>
      <w:r>
        <w:t xml:space="preserve">3. Research Objectives</w:t>
      </w:r>
    </w:p>
    <w:p>
      <w:pPr>
        <w:pStyle w:val="FirstParagraph"/>
      </w:pPr>
      <w:r>
        <w:t xml:space="preserve">This project proposes three core objectives for Melbourne-based research:</w:t>
      </w:r>
    </w:p>
    <w:p>
      <w:pPr>
        <w:numPr>
          <w:ilvl w:val="0"/>
          <w:numId w:val="1001"/>
        </w:numPr>
        <w:pStyle w:val="Compact"/>
      </w:pPr>
      <w:r>
        <w:t xml:space="preserve">To develop a scalable digital twin framework optimizing carbon capture, utilization, and storage (CCUS) integration within Australian petroleum operations.</w:t>
      </w:r>
    </w:p>
    <w:p>
      <w:pPr>
        <w:numPr>
          <w:ilvl w:val="0"/>
          <w:numId w:val="1001"/>
        </w:numPr>
        <w:pStyle w:val="Compact"/>
      </w:pPr>
      <w:r>
        <w:t xml:space="preserve">To establish predictive models assessing the economic viability of "blue hydrogen" production from existing petroleum infrastructure in onshore basins near Melbourne's research corridor.</w:t>
      </w:r>
    </w:p>
    <w:p>
      <w:pPr>
        <w:numPr>
          <w:ilvl w:val="0"/>
          <w:numId w:val="1001"/>
        </w:numPr>
        <w:pStyle w:val="Compact"/>
      </w:pPr>
      <w:r>
        <w:t xml:space="preserve">To create a sustainability certification protocol for petroleum engineering projects that aligns with both Australia's National Hydrogen Strategy and global ESG standards.</w:t>
      </w:r>
    </w:p>
    <w:bookmarkEnd w:id="22"/>
    <w:bookmarkStart w:id="23" w:name="X1e0dfffacbd52c146ea2632c12c60be4d80bb16"/>
    <w:p>
      <w:pPr>
        <w:pStyle w:val="Heading2"/>
      </w:pPr>
      <w:r>
        <w:t xml:space="preserve">4. Literature Review: Gaps in Current Practice</w:t>
      </w:r>
    </w:p>
    <w:p>
      <w:pPr>
        <w:pStyle w:val="FirstParagraph"/>
      </w:pPr>
      <w:r>
        <w:t xml:space="preserve">Existing research (e.g., CSIRO 2023 reports, Journal of Petroleum Science &amp; Engineering) acknowledges CCUS potential but focuses narrowly on offshore projects like the Gorgon field. Critically, no studies address the adaptation of these technologies for Australia's diverse onshore reservoirs—such as those in the Otway Basin (Victoria)—which require different engineering approaches than offshore megaprojects. Furthermore, Melbourne-based academic research (e.g., University of Melbourne Energy Research Institute) has pioneered carbon accounting methodologies but lacks field validation within active petroleum operations. This project bridges that gap by grounding digital models in real-world data from Victorian petroleum sites while leveraging Melbourne's unique ecosystem of geoscience expertise and industrial partners.</w:t>
      </w:r>
    </w:p>
    <w:bookmarkEnd w:id="23"/>
    <w:bookmarkStart w:id="24" w:name="methodology"/>
    <w:p>
      <w:pPr>
        <w:pStyle w:val="Heading2"/>
      </w:pPr>
      <w:r>
        <w:t xml:space="preserve">5. Methodology</w:t>
      </w:r>
    </w:p>
    <w:p>
      <w:pPr>
        <w:pStyle w:val="FirstParagraph"/>
      </w:pPr>
      <w:r>
        <w:t xml:space="preserve">The research will deploy a three-phase methodology centered on Australia Melbourne's collaborative infrastructure:</w:t>
      </w:r>
    </w:p>
    <w:p>
      <w:pPr>
        <w:numPr>
          <w:ilvl w:val="0"/>
          <w:numId w:val="1002"/>
        </w:numPr>
        <w:pStyle w:val="Compact"/>
      </w:pPr>
      <w:r>
        <w:rPr>
          <w:bCs/>
          <w:b/>
        </w:rPr>
        <w:t xml:space="preserve">Phase 1 (Months 1-6): Data Integration</w:t>
      </w:r>
      <w:r>
        <w:t xml:space="preserve"> </w:t>
      </w:r>
      <w:r>
        <w:t xml:space="preserve">– Partner with Melbourne-headquartered companies (e.g., Santos, BHP) to access anonymized production data from Victoria's petroleum assets. Utilize the Victorian Energy Resources Geoscience Database and collaborate with Geoscience Australia's Melbourne office for subsurface modeling.</w:t>
      </w:r>
    </w:p>
    <w:p>
      <w:pPr>
        <w:numPr>
          <w:ilvl w:val="0"/>
          <w:numId w:val="1002"/>
        </w:numPr>
        <w:pStyle w:val="Compact"/>
      </w:pPr>
      <w:r>
        <w:rPr>
          <w:bCs/>
          <w:b/>
        </w:rPr>
        <w:t xml:space="preserve">Phase 2 (Months 7-18): Digital Twin Development</w:t>
      </w:r>
      <w:r>
        <w:t xml:space="preserve"> </w:t>
      </w:r>
      <w:r>
        <w:t xml:space="preserve">– Build AI-driven simulations at the University of Melbourne’s Advanced Manufacturing Research Centre. Focus on real-time carbon tracking during extraction, injection, and pipeline operations using machine learning trained on Australian reservoir data.</w:t>
      </w:r>
    </w:p>
    <w:p>
      <w:pPr>
        <w:numPr>
          <w:ilvl w:val="0"/>
          <w:numId w:val="1002"/>
        </w:numPr>
        <w:pStyle w:val="Compact"/>
      </w:pPr>
      <w:r>
        <w:rPr>
          <w:bCs/>
          <w:b/>
        </w:rPr>
        <w:t xml:space="preserve">Phase 3 (Months 19-24): Stakeholder Validation</w:t>
      </w:r>
      <w:r>
        <w:t xml:space="preserve"> </w:t>
      </w:r>
      <w:r>
        <w:t xml:space="preserve">– Test models with industry partners across Australia Melbourne's energy cluster. Develop the sustainability certification protocol through workshops with EnergyAustralia, the Australian Petroleum Production &amp; Exploration Association (APPEA), and the Victorian Government’s Department of Jobs, Precincts and Regions.</w:t>
      </w:r>
    </w:p>
    <w:bookmarkEnd w:id="24"/>
    <w:bookmarkStart w:id="25" w:name="significance-for-australia-melbourne"/>
    <w:p>
      <w:pPr>
        <w:pStyle w:val="Heading2"/>
      </w:pPr>
      <w:r>
        <w:t xml:space="preserve">6. Significance for Australia Melbourne</w:t>
      </w:r>
    </w:p>
    <w:p>
      <w:pPr>
        <w:pStyle w:val="FirstParagraph"/>
      </w:pPr>
      <w:r>
        <w:t xml:space="preserve">This research directly addresses three strategic imperatives for Australia Melbourne:</w:t>
      </w:r>
    </w:p>
    <w:p>
      <w:pPr>
        <w:numPr>
          <w:ilvl w:val="0"/>
          <w:numId w:val="1003"/>
        </w:numPr>
        <w:pStyle w:val="Compact"/>
      </w:pPr>
      <w:r>
        <w:rPr>
          <w:bCs/>
          <w:b/>
        </w:rPr>
        <w:t xml:space="preserve">Economic Diversification</w:t>
      </w:r>
      <w:r>
        <w:t xml:space="preserve">: Positions Melbourne as a global leader in "sustainable petroleum engineering," attracting investment to the state's emerging energy transition sector. The Victorian Government’s 2023 Energy Plan prioritizes $1.5B for clean hydrogen hubs—this project provides the engineering foundation for those initiatives.</w:t>
      </w:r>
    </w:p>
    <w:p>
      <w:pPr>
        <w:numPr>
          <w:ilvl w:val="0"/>
          <w:numId w:val="1003"/>
        </w:numPr>
        <w:pStyle w:val="Compact"/>
      </w:pPr>
      <w:r>
        <w:rPr>
          <w:bCs/>
          <w:b/>
        </w:rPr>
        <w:t xml:space="preserve">Talent Development</w:t>
      </w:r>
      <w:r>
        <w:t xml:space="preserve">: Creates a new career pathway for</w:t>
      </w:r>
      <w:r>
        <w:t xml:space="preserve"> </w:t>
      </w:r>
      <w:r>
        <w:rPr>
          <w:iCs/>
          <w:i/>
        </w:rPr>
        <w:t xml:space="preserve">Petroleum Engineer</w:t>
      </w:r>
      <w:r>
        <w:t xml:space="preserve"> </w:t>
      </w:r>
      <w:r>
        <w:t xml:space="preserve">professionals in Melbourne, moving beyond traditional extraction roles to carbon management and renewable integration. This aligns with Victoria’s Skills Plan targeting 30% of energy sector jobs to be sustainability-focused by 2030.</w:t>
      </w:r>
    </w:p>
    <w:p>
      <w:pPr>
        <w:numPr>
          <w:ilvl w:val="0"/>
          <w:numId w:val="1003"/>
        </w:numPr>
        <w:pStyle w:val="Compact"/>
      </w:pPr>
      <w:r>
        <w:rPr>
          <w:bCs/>
          <w:b/>
        </w:rPr>
        <w:t xml:space="preserve">Policy Impact</w:t>
      </w:r>
      <w:r>
        <w:t xml:space="preserve">: The certification protocol will inform Australia's upcoming Carbon Pricing Mechanism updates, ensuring petroleum engineering practices meet international standards while supporting the nation’s climate commitments under the Paris Agreement.</w:t>
      </w:r>
    </w:p>
    <w:bookmarkEnd w:id="25"/>
    <w:bookmarkStart w:id="26" w:name="expected-outcomes-and-dissemination"/>
    <w:p>
      <w:pPr>
        <w:pStyle w:val="Heading2"/>
      </w:pPr>
      <w:r>
        <w:t xml:space="preserve">7. Expected Outcomes and Dissemination</w:t>
      </w:r>
    </w:p>
    <w:p>
      <w:pPr>
        <w:pStyle w:val="FirstParagraph"/>
      </w:pPr>
      <w:r>
        <w:t xml:space="preserve">We anticipate delivering:</w:t>
      </w:r>
    </w:p>
    <w:p>
      <w:pPr>
        <w:numPr>
          <w:ilvl w:val="0"/>
          <w:numId w:val="1004"/>
        </w:numPr>
        <w:pStyle w:val="Compact"/>
      </w:pPr>
      <w:r>
        <w:t xml:space="preserve">A validated digital twin platform for Australian petroleum operations (deployable by 2026)</w:t>
      </w:r>
    </w:p>
    <w:p>
      <w:pPr>
        <w:numPr>
          <w:ilvl w:val="0"/>
          <w:numId w:val="1004"/>
        </w:numPr>
        <w:pStyle w:val="Compact"/>
      </w:pPr>
      <w:r>
        <w:t xml:space="preserve">Economic viability models for blue hydrogen production from Victoria's oil fields</w:t>
      </w:r>
    </w:p>
    <w:p>
      <w:pPr>
        <w:numPr>
          <w:ilvl w:val="0"/>
          <w:numId w:val="1004"/>
        </w:numPr>
        <w:pStyle w:val="Compact"/>
      </w:pPr>
      <w:r>
        <w:t xml:space="preserve">A nationally recognized sustainability framework endorsed by APPEA and the Australian Academy of Technological Sciences and Engineering</w:t>
      </w:r>
    </w:p>
    <w:p>
      <w:pPr>
        <w:pStyle w:val="FirstParagraph"/>
      </w:pPr>
      <w:r>
        <w:t xml:space="preserve">All findings will be published in high-impact journals (e.g., *Journal of Natural Gas Science and Engineering*) with open-source code via Melbourne's Victorian Data Hub. Key outputs will be presented at the International Petroleum Engineering Conference (IPEC), hosted by APPEA in Melbourne 2025, ensuring direct engagement with industry leaders.</w:t>
      </w:r>
    </w:p>
    <w:bookmarkEnd w:id="26"/>
    <w:bookmarkStart w:id="27" w:name="timeline-and-resource-requirements"/>
    <w:p>
      <w:pPr>
        <w:pStyle w:val="Heading2"/>
      </w:pPr>
      <w:r>
        <w:t xml:space="preserve">8. Timeline and Resource Requirements</w:t>
      </w:r>
    </w:p>
    <w:p>
      <w:pPr>
        <w:pStyle w:val="FirstParagraph"/>
      </w:pPr>
      <w:r>
        <w:t xml:space="preserve">The 24-month project requires:</w:t>
      </w:r>
    </w:p>
    <w:p>
      <w:pPr>
        <w:numPr>
          <w:ilvl w:val="0"/>
          <w:numId w:val="1005"/>
        </w:numPr>
        <w:pStyle w:val="Compact"/>
      </w:pPr>
      <w:r>
        <w:rPr>
          <w:bCs/>
          <w:b/>
        </w:rPr>
        <w:t xml:space="preserve">Personnel</w:t>
      </w:r>
      <w:r>
        <w:t xml:space="preserve">: Principal Researcher (Petroleum Engineering PhD), Data Scientist, Geoscientist, Industry Liaison Officer (all based in Melbourne)</w:t>
      </w:r>
    </w:p>
    <w:p>
      <w:pPr>
        <w:numPr>
          <w:ilvl w:val="0"/>
          <w:numId w:val="1005"/>
        </w:numPr>
        <w:pStyle w:val="Compact"/>
      </w:pPr>
      <w:r>
        <w:rPr>
          <w:bCs/>
          <w:b/>
        </w:rPr>
        <w:t xml:space="preserve">Infrastructure</w:t>
      </w:r>
      <w:r>
        <w:t xml:space="preserve">: Access to Melbourne University's High-Performance Computing Cluster and partnership with the Victorian Energy Storage Initiative lab</w:t>
      </w:r>
    </w:p>
    <w:p>
      <w:pPr>
        <w:numPr>
          <w:ilvl w:val="0"/>
          <w:numId w:val="1005"/>
        </w:numPr>
        <w:pStyle w:val="Compact"/>
      </w:pPr>
      <w:r>
        <w:rPr>
          <w:bCs/>
          <w:b/>
        </w:rPr>
        <w:t xml:space="preserve">Budget</w:t>
      </w:r>
      <w:r>
        <w:t xml:space="preserve">: AUD $1.2 million (85% industry co-funding via APPEA members, 15% from Victorian Government’s Energy Innovation Fund)</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Melbourne as the strategic epicenter for redefining the role of the</w:t>
      </w:r>
      <w:r>
        <w:t xml:space="preserve"> </w:t>
      </w:r>
      <w:r>
        <w:rPr>
          <w:iCs/>
          <w:i/>
        </w:rPr>
        <w:t xml:space="preserve">Petroleum Engineer</w:t>
      </w:r>
      <w:r>
        <w:t xml:space="preserve"> </w:t>
      </w:r>
      <w:r>
        <w:t xml:space="preserve">in Australia's energy future. By embedding sustainability at the core of petroleum engineering workflows—rather than treating it as an add-on—we address Australia's immediate climate obligations while securing long-term economic value. The project’s focus on Melbourne leverages the city’s unparalleled convergence of research excellence, industry presence, and policy innovation to create a globally applicable model for responsible resource management. As Australia navigates its energy transition, this initiative ensures petroleum engineering evolves from a legacy industry into a catalyst for sustainable prosperity—proving that in Australia Melbourne, the future of energy is engineered with purpose.</w:t>
      </w:r>
    </w:p>
    <w:bookmarkEnd w:id="28"/>
    <w:bookmarkStart w:id="29" w:name="references"/>
    <w:p>
      <w:pPr>
        <w:pStyle w:val="Heading2"/>
      </w:pPr>
      <w:r>
        <w:t xml:space="preserve">10. References</w:t>
      </w:r>
    </w:p>
    <w:p>
      <w:pPr>
        <w:pStyle w:val="FirstParagraph"/>
      </w:pPr>
      <w:r>
        <w:t xml:space="preserve">CSIRO (2023). *National Carbon Capture and Storage Strategy*. Canberra: Commonwealth Scientific and Industrial Research Organisation.</w:t>
      </w:r>
      <w:r>
        <w:br/>
      </w:r>
      <w:r>
        <w:t xml:space="preserve">Victorian Government (2023). *Victorian Energy Plan: Driving the Clean Economy*. Melbourne.</w:t>
      </w:r>
      <w:r>
        <w:br/>
      </w:r>
      <w:r>
        <w:t xml:space="preserve">APPEA (2024). *Australia's Oil &amp; Gas Industry Outlook 2035*. Sydney.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Australia Melbourne</dc:title>
  <dc:creator/>
  <dc:language>en</dc:language>
  <cp:keywords/>
  <dcterms:created xsi:type="dcterms:W3CDTF">2026-07-19T19:49:53Z</dcterms:created>
  <dcterms:modified xsi:type="dcterms:W3CDTF">2026-07-19T19:49:53Z</dcterms:modified>
</cp:coreProperties>
</file>

<file path=docProps/custom.xml><?xml version="1.0" encoding="utf-8"?>
<Properties xmlns="http://schemas.openxmlformats.org/officeDocument/2006/custom-properties" xmlns:vt="http://schemas.openxmlformats.org/officeDocument/2006/docPropsVTypes"/>
</file>