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30" w:name="Xf84d6a54919a8f9821a02fcffaa6be466417766"/>
    <w:p>
      <w:pPr>
        <w:pStyle w:val="Heading1"/>
      </w:pPr>
      <w:r>
        <w:t xml:space="preserve">Research Proposal: Integrating Petroleum Engineering Expertise for Sustainable Urban Energy Transition in Colombia Medellín</w:t>
      </w:r>
    </w:p>
    <w:bookmarkStart w:id="20" w:name="abstract"/>
    <w:p>
      <w:pPr>
        <w:pStyle w:val="Heading2"/>
      </w:pPr>
      <w:r>
        <w:t xml:space="preserve">Abstract</w:t>
      </w:r>
    </w:p>
    <w:p>
      <w:pPr>
        <w:pStyle w:val="FirstParagraph"/>
      </w:pPr>
      <w:r>
        <w:t xml:space="preserve">This research proposal outlines a critical investigation into the evolving role of the Petroleum Engineer within Colombia's energy transition framework, with specific focus on applying petroleum engineering principles to support sustainable urban development in Medellín. While traditional petroleum engineering has been historically centered on extraction in regions like Llanos Orientales, this project repositions the discipline towards innovation in urban energy systems. The study addresses Colombia's national decarbonization goals and Medellín's status as a global model for sustainable urban planning, proposing that Petroleum Engineers can drive solutions for geothermal energy utilization, carbon capture integration, and legacy infrastructure repurposing. This Research Proposal establishes a framework for interdisciplinary collaboration between petroleum engineering specialists and Medellín's municipal innovation ecosystem.</w:t>
      </w:r>
    </w:p>
    <w:bookmarkEnd w:id="20"/>
    <w:bookmarkStart w:id="21" w:name="X919c0c35e2388c0ddc68821b527c4f140a780f2"/>
    <w:p>
      <w:pPr>
        <w:pStyle w:val="Heading2"/>
      </w:pPr>
      <w:r>
        <w:t xml:space="preserve">1. Introduction: Contextualizing Petroleum Engineering in Colombia Medellín</w:t>
      </w:r>
    </w:p>
    <w:p>
      <w:pPr>
        <w:pStyle w:val="FirstParagraph"/>
      </w:pPr>
      <w:r>
        <w:t xml:space="preserve">Colombia, as Latin America's fourth-largest oil producer, faces dual challenges of maintaining energy security while accelerating its commitment to the Paris Agreement. The city of Medellín – a metropolitan hub with over 2.5 million residents and a national leader in social innovation – presents a unique case study where petroleum engineering expertise is not applied to extraction but to urban sustainability. This Research Proposal recognizes that the traditional Petroleum Engineer's skill set (reservoir modeling, fluid dynamics, energy systems analysis) is highly transferable to emerging urban energy challenges in Medellín. The project directly addresses Colombia's National Energy Plan (2018-2050), which emphasizes diversification beyond hydrocarbons and requires technical expertise for integrating renewables into existing infrastructure.</w:t>
      </w:r>
    </w:p>
    <w:bookmarkEnd w:id="21"/>
    <w:bookmarkStart w:id="22" w:name="problem-statement"/>
    <w:p>
      <w:pPr>
        <w:pStyle w:val="Heading2"/>
      </w:pPr>
      <w:r>
        <w:t xml:space="preserve">2. Problem Statement</w:t>
      </w:r>
    </w:p>
    <w:p>
      <w:pPr>
        <w:pStyle w:val="FirstParagraph"/>
      </w:pPr>
      <w:r>
        <w:t xml:space="preserve">Medellín's ambitious "Green City" initiatives face a critical gap: the absence of specialized engineering talent capable of adapting petroleum engineering methodologies to urban energy systems. Current municipal projects focus on solar, wind, and hydroelectric power but lack technical oversight for integrating geothermal potential (exploiting Colombia's volcanic zone) or repurposing decommissioned oil infrastructure for carbon capture storage (CCS). Without Petroleum Engineers actively participating in urban planning, Colombia risks missing opportunities to leverage its energy sector expertise for sustainable development. This Research Proposal identifies the urgent need to reframe petroleum engineering education and practice within Medellín's innovation ecosystem.</w:t>
      </w:r>
    </w:p>
    <w:bookmarkEnd w:id="22"/>
    <w:bookmarkStart w:id="23" w:name="X9f0ef4e5815a68cd537440e2fd97cfc43ceb83c"/>
    <w:p>
      <w:pPr>
        <w:pStyle w:val="Heading2"/>
      </w:pPr>
      <w:r>
        <w:t xml:space="preserve">3. Literature Review: Bridging Engineering Disciplines</w:t>
      </w:r>
    </w:p>
    <w:p>
      <w:pPr>
        <w:pStyle w:val="FirstParagraph"/>
      </w:pPr>
      <w:r>
        <w:t xml:space="preserve">Recent studies (e.g., Gómez et al., 2023; ANH, 2024) confirm Colombia's oil sector has declining production rates (-4.5% annually), necessitating workforce transition strategies. Meanwhile, Medellín's "Medellín 10" plan prioritizes zero-emission public transport and district energy systems (Caldas &amp; Martínez, 2023). However, no existing research explores how Petroleum Engineers can optimize these systems using their core competencies. This project builds on pioneering work in Norway's "Urban Geothermal" initiatives (Bjørk et al., 2022) but adapts it to Colombia's specific geology and Medellín's urban morphology. The proposed methodology bridges a critical gap between petroleum engineering and sustainable urban infrastructure design.</w:t>
      </w:r>
    </w:p>
    <w:bookmarkEnd w:id="23"/>
    <w:bookmarkStart w:id="24" w:name="research-objectives"/>
    <w:p>
      <w:pPr>
        <w:pStyle w:val="Heading2"/>
      </w:pPr>
      <w:r>
        <w:t xml:space="preserve">4. Research Objectives</w:t>
      </w:r>
    </w:p>
    <w:p>
      <w:pPr>
        <w:numPr>
          <w:ilvl w:val="0"/>
          <w:numId w:val="1001"/>
        </w:numPr>
        <w:pStyle w:val="Compact"/>
      </w:pPr>
      <w:r>
        <w:t xml:space="preserve">To develop a technical framework for applying Petroleum Engineer skills in urban geothermal energy exploration within the Andean foothills surrounding Medellín.</w:t>
      </w:r>
    </w:p>
    <w:p>
      <w:pPr>
        <w:numPr>
          <w:ilvl w:val="0"/>
          <w:numId w:val="1001"/>
        </w:numPr>
        <w:pStyle w:val="Compact"/>
      </w:pPr>
      <w:r>
        <w:t xml:space="preserve">To model carbon capture utilization and storage (CCUS) opportunities using decommissioned oil infrastructure near Medellín's metropolitan area.</w:t>
      </w:r>
    </w:p>
    <w:p>
      <w:pPr>
        <w:numPr>
          <w:ilvl w:val="0"/>
          <w:numId w:val="1001"/>
        </w:numPr>
        <w:pStyle w:val="Compact"/>
      </w:pPr>
      <w:r>
        <w:t xml:space="preserve">To create a workforce transition curriculum for Petroleum Engineers specializing in sustainable urban energy systems, validated through partnerships with Medellín's universities.</w:t>
      </w:r>
    </w:p>
    <w:p>
      <w:pPr>
        <w:numPr>
          <w:ilvl w:val="0"/>
          <w:numId w:val="1001"/>
        </w:numPr>
        <w:pStyle w:val="Compact"/>
      </w:pPr>
      <w:r>
        <w:t xml:space="preserve">To establish metrics for measuring the environmental and economic impact of petroleum engineering-led urban energy projects in Colombia Medellín.</w:t>
      </w:r>
    </w:p>
    <w:bookmarkEnd w:id="24"/>
    <w:bookmarkStart w:id="25" w:name="methodology"/>
    <w:p>
      <w:pPr>
        <w:pStyle w:val="Heading2"/>
      </w:pPr>
      <w:r>
        <w:t xml:space="preserve">5. Methodology</w:t>
      </w:r>
    </w:p>
    <w:p>
      <w:pPr>
        <w:pStyle w:val="FirstParagraph"/>
      </w:pPr>
      <w:r>
        <w:t xml:space="preserve">This mixed-methods Research Proposal employs three interlocking approaches over 18 months:</w:t>
      </w:r>
    </w:p>
    <w:p>
      <w:pPr>
        <w:numPr>
          <w:ilvl w:val="0"/>
          <w:numId w:val="1002"/>
        </w:numPr>
        <w:pStyle w:val="Compact"/>
      </w:pPr>
      <w:r>
        <w:rPr>
          <w:bCs/>
          <w:b/>
        </w:rPr>
        <w:t xml:space="preserve">Geospatial Analysis:</w:t>
      </w:r>
      <w:r>
        <w:t xml:space="preserve"> </w:t>
      </w:r>
      <w:r>
        <w:t xml:space="preserve">Using Colombia's Geological Survey data and Medellín's urban GIS layers, identify subsurface thermal gradients suitable for district heating systems. Petroleum Engineers will apply reservoir simulation techniques to model heat extraction efficiency.</w:t>
      </w:r>
    </w:p>
    <w:p>
      <w:pPr>
        <w:numPr>
          <w:ilvl w:val="0"/>
          <w:numId w:val="1002"/>
        </w:numPr>
        <w:pStyle w:val="Compact"/>
      </w:pPr>
      <w:r>
        <w:rPr>
          <w:bCs/>
          <w:b/>
        </w:rPr>
        <w:t xml:space="preserve">Infrastructure Audit:</w:t>
      </w:r>
      <w:r>
        <w:t xml:space="preserve"> </w:t>
      </w:r>
      <w:r>
        <w:t xml:space="preserve">Collaborate with the City of Medellín and Ecopetrol to assess 12 decommissioned oil wells/terminals within 50km radius for potential CCS repurposing. Petroleum Engineers will conduct technical feasibility studies using their expertise in subsurface containment.</w:t>
      </w:r>
    </w:p>
    <w:p>
      <w:pPr>
        <w:numPr>
          <w:ilvl w:val="0"/>
          <w:numId w:val="1002"/>
        </w:numPr>
        <w:pStyle w:val="Compact"/>
      </w:pPr>
      <w:r>
        <w:rPr>
          <w:bCs/>
          <w:b/>
        </w:rPr>
        <w:t xml:space="preserve">Stakeholder Co-Design:</w:t>
      </w:r>
      <w:r>
        <w:t xml:space="preserve"> </w:t>
      </w:r>
      <w:r>
        <w:t xml:space="preserve">Workshops with Medellín's Innovation Agency, University of Antioquia (Engineering Faculty), and energy SMEs to develop the specialized curriculum for Petroleum Engineers transitioning into urban energy roles.</w:t>
      </w:r>
    </w:p>
    <w:bookmarkEnd w:id="25"/>
    <w:bookmarkStart w:id="26" w:name="significance-expected-outcomes"/>
    <w:p>
      <w:pPr>
        <w:pStyle w:val="Heading2"/>
      </w:pPr>
      <w:r>
        <w:t xml:space="preserve">6. Significance &amp; Expected Outcomes</w:t>
      </w:r>
    </w:p>
    <w:p>
      <w:pPr>
        <w:pStyle w:val="FirstParagraph"/>
      </w:pPr>
      <w:r>
        <w:t xml:space="preserve">This Research Proposal delivers transformative value for both Colombia and Medellín. For the nation, it provides a roadmap to convert petroleum sector expertise into climate action assets, aligning with Colombia's 2050 net-zero target. For Medellín specifically, it positions the city as a pioneer in "urban energy engineering" – creating new job pathways for Petroleum Engineers while advancing its sustainability goals. Expected deliverables include:</w:t>
      </w:r>
    </w:p>
    <w:p>
      <w:pPr>
        <w:numPr>
          <w:ilvl w:val="0"/>
          <w:numId w:val="1003"/>
        </w:numPr>
        <w:pStyle w:val="Compact"/>
      </w:pPr>
      <w:r>
        <w:t xml:space="preserve">A validated geothermal potential map for Medellín's urban expansion zones</w:t>
      </w:r>
    </w:p>
    <w:p>
      <w:pPr>
        <w:numPr>
          <w:ilvl w:val="0"/>
          <w:numId w:val="1003"/>
        </w:numPr>
        <w:pStyle w:val="Compact"/>
      </w:pPr>
      <w:r>
        <w:t xml:space="preserve">Technical protocols for CCUS infrastructure repurposing</w:t>
      </w:r>
    </w:p>
    <w:p>
      <w:pPr>
        <w:numPr>
          <w:ilvl w:val="0"/>
          <w:numId w:val="1003"/>
        </w:numPr>
        <w:pStyle w:val="Compact"/>
      </w:pPr>
      <w:r>
        <w:t xml:space="preserve">An accredited professional certification module ("Urban Energy Engineering") for Petroleum Engineers</w:t>
      </w:r>
    </w:p>
    <w:p>
      <w:pPr>
        <w:numPr>
          <w:ilvl w:val="0"/>
          <w:numId w:val="1003"/>
        </w:numPr>
        <w:pStyle w:val="Compact"/>
      </w:pPr>
      <w:r>
        <w:t xml:space="preserve">Policy briefs for Colombia's Ministry of Mines and Energy on workforce transition frameworks</w:t>
      </w:r>
    </w:p>
    <w:bookmarkEnd w:id="26"/>
    <w:bookmarkStart w:id="27" w:name="timeline-budget-summary-18-month-project"/>
    <w:p>
      <w:pPr>
        <w:pStyle w:val="Heading2"/>
      </w:pPr>
      <w:r>
        <w:t xml:space="preserve">7. Timeline &amp; Budget Summary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w:t>
            </w:r>
          </w:p>
        </w:tc>
      </w:tr>
      <w:tr>
        <w:tc>
          <w:tcPr/>
          <w:p>
            <w:pPr>
              <w:pStyle w:val="Compact"/>
              <w:jc w:val="left"/>
            </w:pPr>
            <w:r>
              <w:t xml:space="preserve">Baseline Assessment &amp; Data Collection</w:t>
            </w:r>
          </w:p>
        </w:tc>
        <w:tc>
          <w:tcPr/>
          <w:p>
            <w:pPr>
              <w:pStyle w:val="Compact"/>
              <w:jc w:val="left"/>
            </w:pPr>
            <w:r>
              <w:t xml:space="preserve">1-4</w:t>
            </w:r>
          </w:p>
        </w:tc>
        <w:tc>
          <w:tcPr/>
          <w:p>
            <w:pPr>
              <w:pStyle w:val="Compact"/>
              <w:jc w:val="left"/>
            </w:pPr>
            <w:r>
              <w:t xml:space="preserve">$75,000 (Geospatial tools, field surveys)</w:t>
            </w:r>
          </w:p>
        </w:tc>
      </w:tr>
      <w:tr>
        <w:tc>
          <w:tcPr/>
          <w:p>
            <w:pPr>
              <w:pStyle w:val="Compact"/>
              <w:jc w:val="left"/>
            </w:pPr>
            <w:r>
              <w:t xml:space="preserve">Technical Modeling &amp; Feasibility Studies</w:t>
            </w:r>
          </w:p>
        </w:tc>
        <w:tc>
          <w:tcPr/>
          <w:p>
            <w:pPr>
              <w:pStyle w:val="Compact"/>
              <w:jc w:val="left"/>
            </w:pPr>
            <w:r>
              <w:t xml:space="preserve">5-12</w:t>
            </w:r>
          </w:p>
        </w:tc>
        <w:tc>
          <w:tcPr/>
          <w:p>
            <w:pPr>
              <w:pStyle w:val="Compact"/>
              <w:jc w:val="left"/>
            </w:pPr>
            <w:r>
              <w:t xml:space="preserve">$120,000 (Reservoir simulation software, expert consultants)</w:t>
            </w:r>
          </w:p>
        </w:tc>
      </w:tr>
      <w:tr>
        <w:tc>
          <w:tcPr/>
          <w:p>
            <w:pPr>
              <w:pStyle w:val="Compact"/>
              <w:jc w:val="left"/>
            </w:pPr>
            <w:r>
              <w:t xml:space="preserve">Curriculum Development &amp; Pilot Program</w:t>
            </w:r>
          </w:p>
        </w:tc>
        <w:tc>
          <w:tcPr/>
          <w:p>
            <w:pPr>
              <w:pStyle w:val="Compact"/>
              <w:jc w:val="left"/>
            </w:pPr>
            <w:r>
              <w:t xml:space="preserve">13-16</w:t>
            </w:r>
          </w:p>
        </w:tc>
        <w:tc>
          <w:tcPr/>
          <w:p>
            <w:pPr>
              <w:pStyle w:val="Compact"/>
              <w:jc w:val="left"/>
            </w:pPr>
            <w:r>
              <w:t xml:space="preserve">$55,000 (Workshop coordination, faculty training)</w:t>
            </w:r>
          </w:p>
        </w:tc>
      </w:tr>
      <w:tr>
        <w:tc>
          <w:tcPr/>
          <w:p>
            <w:pPr>
              <w:pStyle w:val="Compact"/>
              <w:jc w:val="left"/>
            </w:pPr>
            <w:r>
              <w:t xml:space="preserve">Dissemination &amp; Policy Integration</w:t>
            </w:r>
          </w:p>
        </w:tc>
        <w:tc>
          <w:tcPr/>
          <w:p>
            <w:pPr>
              <w:pStyle w:val="Compact"/>
              <w:jc w:val="left"/>
            </w:pPr>
            <w:r>
              <w:t xml:space="preserve">17-18</w:t>
            </w:r>
          </w:p>
        </w:tc>
        <w:tc>
          <w:tcPr/>
          <w:p>
            <w:pPr>
              <w:pStyle w:val="Compact"/>
              <w:jc w:val="left"/>
            </w:pPr>
            <w:r>
              <w:t xml:space="preserve">$30,000 (Stakeholder workshops, policy briefs)</w:t>
            </w:r>
          </w:p>
        </w:tc>
      </w:tr>
    </w:tbl>
    <w:bookmarkEnd w:id="27"/>
    <w:bookmarkStart w:id="28" w:name="X6526c560bf2a8476aa92c2185cfa07fbcf92ecf"/>
    <w:p>
      <w:pPr>
        <w:pStyle w:val="Heading2"/>
      </w:pPr>
      <w:r>
        <w:t xml:space="preserve">8. Conclusion: The Future of Petroleum Engineering in Colombia Medellín</w:t>
      </w:r>
    </w:p>
    <w:p>
      <w:pPr>
        <w:pStyle w:val="FirstParagraph"/>
      </w:pPr>
      <w:r>
        <w:t xml:space="preserve">This Research Proposal fundamentally redefines the role of the Petroleum Engineer in Colombia's development narrative. By relocating petroleum engineering expertise from extraction sites to Medellín's urban landscape, we create a replicable model for energy transition that respects Colombia's oil heritage while building sustainable cities. The city of Medellín – recognized as "World Capital of Innovation" by UN-Habitat – provides the ideal environment for this paradigm shift. Petroleum Engineers are not merely adapting to new markets; they are becoming essential catalysts for Medellín's transformation into a globally significant example of integrated energy management. This project directly responds to Colombia's National Development Plan 2023-2026, which prioritizes "green jobs in the energy transition." Through this Research Proposal, the Petroleum Engineer evolves from an oil sector specialist to a pivotal architect of Colombia Medellín's sustainable future.</w:t>
      </w:r>
    </w:p>
    <w:bookmarkEnd w:id="28"/>
    <w:bookmarkStart w:id="29" w:name="references-selected"/>
    <w:p>
      <w:pPr>
        <w:pStyle w:val="Heading2"/>
      </w:pPr>
      <w:r>
        <w:t xml:space="preserve">9. References (Selected)</w:t>
      </w:r>
    </w:p>
    <w:p>
      <w:pPr>
        <w:numPr>
          <w:ilvl w:val="0"/>
          <w:numId w:val="1004"/>
        </w:numPr>
        <w:pStyle w:val="Compact"/>
      </w:pPr>
      <w:r>
        <w:t xml:space="preserve">ANH (Agencia Nacional de Hidrocarburos). (2024). *Colombia's Energy Transition Report*. Bogotá: ANH Publications.</w:t>
      </w:r>
    </w:p>
    <w:p>
      <w:pPr>
        <w:numPr>
          <w:ilvl w:val="0"/>
          <w:numId w:val="1004"/>
        </w:numPr>
        <w:pStyle w:val="Compact"/>
      </w:pPr>
      <w:r>
        <w:t xml:space="preserve">Caldas, L., &amp; Martínez, J. (2023). Urban Renewable Integration in Medellín: Challenges and Opportunities. *Journal of Sustainable Cities*, 17(2), 45-67.</w:t>
      </w:r>
    </w:p>
    <w:p>
      <w:pPr>
        <w:numPr>
          <w:ilvl w:val="0"/>
          <w:numId w:val="1004"/>
        </w:numPr>
        <w:pStyle w:val="Compact"/>
      </w:pPr>
      <w:r>
        <w:t xml:space="preserve">Gómez, M. et al. (2023). Workforce Transition Strategies for Colombian Oil Sector. *Energy Policy*, 180, 114987.</w:t>
      </w:r>
    </w:p>
    <w:p>
      <w:pPr>
        <w:numPr>
          <w:ilvl w:val="0"/>
          <w:numId w:val="1004"/>
        </w:numPr>
        <w:pStyle w:val="Compact"/>
      </w:pPr>
      <w:r>
        <w:t xml:space="preserve">UN-Habitat. (2023). *Medellín: City of Innovation and Sustainability*. Nairobi: UN-Habitat.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Colombia Medellín</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