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Excellence</w:t>
      </w:r>
      <w:r>
        <w:t xml:space="preserve"> </w:t>
      </w:r>
      <w:r>
        <w:t xml:space="preserve">in</w:t>
      </w:r>
      <w:r>
        <w:t xml:space="preserve"> </w:t>
      </w:r>
      <w:r>
        <w:t xml:space="preserve">Kuwait</w:t>
      </w:r>
      <w:r>
        <w:t xml:space="preserve"> </w:t>
      </w:r>
      <w:r>
        <w:t xml:space="preserve">City</w:t>
      </w:r>
    </w:p>
    <w:bookmarkStart w:id="29" w:name="X24918cd10be7902fb8ccb6febfb6e27ea641f39"/>
    <w:p>
      <w:pPr>
        <w:pStyle w:val="Heading1"/>
      </w:pPr>
      <w:r>
        <w:t xml:space="preserve">Research Proposal: Optimizing Reservoir Management Strategies for Sustainable Hydrocarbon Production in Kuwait City</w:t>
      </w:r>
    </w:p>
    <w:bookmarkStart w:id="20" w:name="introduction"/>
    <w:p>
      <w:pPr>
        <w:pStyle w:val="Heading2"/>
      </w:pPr>
      <w:r>
        <w:t xml:space="preserve">1. Introduction</w:t>
      </w:r>
    </w:p>
    <w:p>
      <w:pPr>
        <w:pStyle w:val="FirstParagraph"/>
      </w:pPr>
      <w:r>
        <w:t xml:space="preserve">The State of Kuwait remains one of the world's leading petroleum producers, with oil and gas accounting for over 90% of government revenue and 40% of GDP. As a critical hub for the global energy sector, Kuwait City serves as the administrative and technical heart of this industry, hosting headquarters for Kuwait Oil Company (KOC) and Gulf Oil Company (GOC). This Research Proposal outlines a strategic investigation into advanced petroleum engineering methodologies tailored to Kuwait's unique geological formations and operational challenges. The primary focus is on developing innovative reservoir management frameworks to enhance recovery rates while minimizing environmental impact in Kuwait City's mature fields, ensuring long-term energy security for the nation.</w:t>
      </w:r>
    </w:p>
    <w:bookmarkEnd w:id="20"/>
    <w:bookmarkStart w:id="21" w:name="problem-statement"/>
    <w:p>
      <w:pPr>
        <w:pStyle w:val="Heading2"/>
      </w:pPr>
      <w:r>
        <w:t xml:space="preserve">2. Problem Statement</w:t>
      </w:r>
    </w:p>
    <w:p>
      <w:pPr>
        <w:pStyle w:val="FirstParagraph"/>
      </w:pPr>
      <w:r>
        <w:t xml:space="preserve">Kuwait City's petroleum sector faces critical challenges including declining production from aging carbonate reservoirs (e.g., Burgan Field), water encroachment issues in shallow formations, and increasing operational costs due to complex well integrity management. Current reservoir simulation models lack granularity for Kuwait-specific rock-fluid interactions, leading to suboptimal recovery rates averaging 35-40%—significantly below the global potential of 60-70%. With Kuwait's Vision 2035 emphasizing economic diversification through sustainable resource management, there is an urgent need for localized petroleum engineering research. This gap represents a $1.2 billion annual opportunity loss in recoverable reserves, directly impacting national fiscal stability.</w:t>
      </w:r>
    </w:p>
    <w:bookmarkEnd w:id="21"/>
    <w:bookmarkStart w:id="22" w:name="literature-review"/>
    <w:p>
      <w:pPr>
        <w:pStyle w:val="Heading2"/>
      </w:pPr>
      <w:r>
        <w:t xml:space="preserve">3. Literature Review</w:t>
      </w:r>
    </w:p>
    <w:p>
      <w:pPr>
        <w:pStyle w:val="FirstParagraph"/>
      </w:pPr>
      <w:r>
        <w:t xml:space="preserve">Existing studies (e.g., Al-Kaabi et al., 2020) highlight global advancements in enhanced oil recovery (EOR) techniques like CO</w:t>
      </w:r>
      <w:r>
        <w:rPr>
          <w:vertAlign w:val="subscript"/>
        </w:rPr>
        <w:t xml:space="preserve">2</w:t>
      </w:r>
      <w:r>
        <w:t xml:space="preserve"> </w:t>
      </w:r>
      <w:r>
        <w:t xml:space="preserve">injection and nanofluid applications. However, these lack adaptation to Kuwait's high-temperature (&gt;95°C), high-salinity reservoirs with complex fault systems. Recent field trials by KOC (2022) demonstrated 15% incremental recovery using polymer flooding in the Raudhatain field but revealed critical knowledge gaps: 1) insufficient understanding of carbonate wettability alteration under Kuwaiti conditions, and 2) inadequate predictive modeling for waterflood efficiency in fractured reservoirs. Crucially, no comprehensive study integrates these techniques with Kuwait City's urban infrastructure constraints—where surface operations must avoid densely populated areas like Al-Salmiya and Hawalli.</w:t>
      </w:r>
    </w:p>
    <w:bookmarkEnd w:id="22"/>
    <w:bookmarkStart w:id="23" w:name="research-objectives"/>
    <w:p>
      <w:pPr>
        <w:pStyle w:val="Heading2"/>
      </w:pPr>
      <w:r>
        <w:t xml:space="preserve">4. Research Objectives</w:t>
      </w:r>
    </w:p>
    <w:p>
      <w:pPr>
        <w:pStyle w:val="FirstParagraph"/>
      </w:pPr>
      <w:r>
        <w:t xml:space="preserve">This project proposes three interconnected objectives for the Petroleum Engineer in Kuwait City:</w:t>
      </w:r>
    </w:p>
    <w:p>
      <w:pPr>
        <w:numPr>
          <w:ilvl w:val="0"/>
          <w:numId w:val="1001"/>
        </w:numPr>
        <w:pStyle w:val="Compact"/>
      </w:pPr>
      <w:r>
        <w:rPr>
          <w:bCs/>
          <w:b/>
        </w:rPr>
        <w:t xml:space="preserve">Geomechanical Reservoir Characterization:</w:t>
      </w:r>
      <w:r>
        <w:t xml:space="preserve"> </w:t>
      </w:r>
      <w:r>
        <w:t xml:space="preserve">Develop high-resolution 3D seismic-geological models for Kuwait City's key reservoirs (Burgan, Salmiya) integrating core analysis from KOC's 2023 stratigraphic database to map fracture networks and fluid pathways.</w:t>
      </w:r>
    </w:p>
    <w:p>
      <w:pPr>
        <w:numPr>
          <w:ilvl w:val="0"/>
          <w:numId w:val="1001"/>
        </w:numPr>
        <w:pStyle w:val="Compact"/>
      </w:pPr>
      <w:r>
        <w:rPr>
          <w:bCs/>
          <w:b/>
        </w:rPr>
        <w:t xml:space="preserve">Adaptive EOR Protocol Design:</w:t>
      </w:r>
      <w:r>
        <w:t xml:space="preserve"> </w:t>
      </w:r>
      <w:r>
        <w:t xml:space="preserve">Create a Kuwait-specific EOR decision-support system incorporating real-time well data and machine learning algorithms to optimize injection strategies for carbonate reservoirs under local thermal conditions.</w:t>
      </w:r>
    </w:p>
    <w:p>
      <w:pPr>
        <w:numPr>
          <w:ilvl w:val="0"/>
          <w:numId w:val="1001"/>
        </w:numPr>
        <w:pStyle w:val="Compact"/>
      </w:pPr>
      <w:r>
        <w:rPr>
          <w:bCs/>
          <w:b/>
        </w:rPr>
        <w:t xml:space="preserve">Sustainable Urban Integration Framework:</w:t>
      </w:r>
      <w:r>
        <w:t xml:space="preserve"> </w:t>
      </w:r>
      <w:r>
        <w:t xml:space="preserve">Formulate operational guidelines for petroleum engineers to conduct subsurface operations while mitigating surface disruptions in Kuwait City's urban zones, aligning with the Kuwait National Environment Strategy 2035.</w:t>
      </w:r>
    </w:p>
    <w:bookmarkEnd w:id="23"/>
    <w:bookmarkStart w:id="24" w:name="methodology"/>
    <w:p>
      <w:pPr>
        <w:pStyle w:val="Heading2"/>
      </w:pPr>
      <w:r>
        <w:t xml:space="preserve">5. Methodology</w:t>
      </w:r>
    </w:p>
    <w:p>
      <w:pPr>
        <w:pStyle w:val="FirstParagraph"/>
      </w:pPr>
      <w:r>
        <w:t xml:space="preserve">The research adopts a multidisciplinary approach combining laboratory analysis, field trials, and computational modeling:</w:t>
      </w:r>
    </w:p>
    <w:p>
      <w:pPr>
        <w:numPr>
          <w:ilvl w:val="0"/>
          <w:numId w:val="1002"/>
        </w:numPr>
        <w:pStyle w:val="Compact"/>
      </w:pPr>
      <w:r>
        <w:rPr>
          <w:bCs/>
          <w:b/>
        </w:rPr>
        <w:t xml:space="preserve">Phase 1 (Months 1-6):</w:t>
      </w:r>
      <w:r>
        <w:t xml:space="preserve"> </w:t>
      </w:r>
      <w:r>
        <w:t xml:space="preserve">Core sample analysis from KOC's Kuwait City Reservoir Archive (50+ samples) to characterize mineralogy, porosity heterogeneity, and wettability under simulated Kuwaiti reservoir conditions.</w:t>
      </w:r>
    </w:p>
    <w:p>
      <w:pPr>
        <w:numPr>
          <w:ilvl w:val="0"/>
          <w:numId w:val="1002"/>
        </w:numPr>
        <w:pStyle w:val="Compact"/>
      </w:pPr>
      <w:r>
        <w:rPr>
          <w:bCs/>
          <w:b/>
        </w:rPr>
        <w:t xml:space="preserve">Phase 2 (Months 7-15):</w:t>
      </w:r>
      <w:r>
        <w:t xml:space="preserve"> </w:t>
      </w:r>
      <w:r>
        <w:t xml:space="preserve">Digital twin development using Petrel® software with integration of KOC's real-time production data from Burgan Field. Machine learning models (LSTM networks) will predict waterflood behavior under varying injection rates, validated against historical field data.</w:t>
      </w:r>
    </w:p>
    <w:p>
      <w:pPr>
        <w:numPr>
          <w:ilvl w:val="0"/>
          <w:numId w:val="1002"/>
        </w:numPr>
        <w:pStyle w:val="Compact"/>
      </w:pPr>
      <w:r>
        <w:rPr>
          <w:bCs/>
          <w:b/>
        </w:rPr>
        <w:t xml:space="preserve">Phase 3 (Months 16-24):</w:t>
      </w:r>
      <w:r>
        <w:t xml:space="preserve"> </w:t>
      </w:r>
      <w:r>
        <w:t xml:space="preserve">Pilot testing of optimized EOR protocols in KOC's Al-Masjed oilfield near Kuwait City. A dedicated Petroleum Engineer will oversee field implementation while monitoring environmental metrics (groundwater quality, surface subsidence) via IoT sensors.</w:t>
      </w:r>
    </w:p>
    <w:p>
      <w:pPr>
        <w:numPr>
          <w:ilvl w:val="0"/>
          <w:numId w:val="1002"/>
        </w:numPr>
        <w:pStyle w:val="Compact"/>
      </w:pPr>
      <w:r>
        <w:rPr>
          <w:bCs/>
          <w:b/>
        </w:rPr>
        <w:t xml:space="preserve">Urban Integration Protocol:</w:t>
      </w:r>
      <w:r>
        <w:t xml:space="preserve"> </w:t>
      </w:r>
      <w:r>
        <w:t xml:space="preserve">Collaborate with Kuwait City Municipality to map infrastructure networks and develop "operational exclusion zones" using GIS technology, ensuring field operations avoid sensitive urban areas.</w:t>
      </w:r>
    </w:p>
    <w:bookmarkEnd w:id="24"/>
    <w:bookmarkStart w:id="25" w:name="expected-outcomes-significance"/>
    <w:p>
      <w:pPr>
        <w:pStyle w:val="Heading2"/>
      </w:pPr>
      <w:r>
        <w:t xml:space="preserve">6. Expected Outcomes &amp; Significance</w:t>
      </w:r>
    </w:p>
    <w:p>
      <w:pPr>
        <w:pStyle w:val="FirstParagraph"/>
      </w:pPr>
      <w:r>
        <w:t xml:space="preserve">The project will deliver four transformative outcomes directly benefiting Kuwait City's petroleum sector:</w:t>
      </w:r>
    </w:p>
    <w:p>
      <w:pPr>
        <w:numPr>
          <w:ilvl w:val="0"/>
          <w:numId w:val="1003"/>
        </w:numPr>
        <w:pStyle w:val="Compact"/>
      </w:pPr>
      <w:r>
        <w:t xml:space="preserve">A validated reservoir simulation toolkit with 95% accuracy in predicting recovery rates for Kuwaiti carbonate reservoirs, reducing reliance on generic global models.</w:t>
      </w:r>
    </w:p>
    <w:p>
      <w:pPr>
        <w:numPr>
          <w:ilvl w:val="0"/>
          <w:numId w:val="1003"/>
        </w:numPr>
        <w:pStyle w:val="Compact"/>
      </w:pPr>
      <w:r>
        <w:t xml:space="preserve">Documented EOR protocols capable of increasing ultimate recovery by 12-18%, translating to an estimated $4.3 billion in additional recoverable reserves across Kuwait City's mature fields.</w:t>
      </w:r>
    </w:p>
    <w:p>
      <w:pPr>
        <w:numPr>
          <w:ilvl w:val="0"/>
          <w:numId w:val="1003"/>
        </w:numPr>
        <w:pStyle w:val="Compact"/>
      </w:pPr>
      <w:r>
        <w:t xml:space="preserve">A comprehensive "Urban Petroleum Operations Manual" for the Petroleum Engineer, detailing environmental safeguards and community engagement protocols for city-center projects.</w:t>
      </w:r>
    </w:p>
    <w:p>
      <w:pPr>
        <w:numPr>
          <w:ilvl w:val="0"/>
          <w:numId w:val="1003"/>
        </w:numPr>
        <w:pStyle w:val="Compact"/>
      </w:pPr>
      <w:r>
        <w:t xml:space="preserve">Capacity development of 15 Kuwaiti petroleum engineers through KOC-Kuwait University joint training programs, aligning with the Ministry of Oil's national skills initiative.</w:t>
      </w:r>
    </w:p>
    <w:p>
      <w:pPr>
        <w:pStyle w:val="FirstParagraph"/>
      </w:pPr>
      <w:r>
        <w:t xml:space="preserve">The significance extends beyond economics: Enhanced recovery will reduce Kuwait's carbon intensity per barrel by 22% (per IEA benchmarks), supporting national net-zero commitments. For the Petroleum Engineer in Kuwait City, this research establishes a new operational paradigm where technical excellence harmonizes with urban sustainability—a critical differentiator in global energy leadership.</w:t>
      </w:r>
    </w:p>
    <w:bookmarkEnd w:id="25"/>
    <w:bookmarkStart w:id="26" w:name="timeline-budget"/>
    <w:p>
      <w:pPr>
        <w:pStyle w:val="Heading2"/>
      </w:pPr>
      <w:r>
        <w:t xml:space="preserve">7. Timeline &amp; Budget</w:t>
      </w:r>
    </w:p>
    <w:p>
      <w:pPr>
        <w:pStyle w:val="FirstParagraph"/>
      </w:pPr>
      <w:r>
        <w:rPr>
          <w:bCs/>
          <w:b/>
        </w:rPr>
        <w:t xml:space="preserve">Duration:</w:t>
      </w:r>
      <w:r>
        <w:t xml:space="preserve"> </w:t>
      </w:r>
      <w:r>
        <w:t xml:space="preserve">24 months (January 2025–December 2026)</w:t>
      </w:r>
      <w:r>
        <w:br/>
      </w:r>
      <w:r>
        <w:rPr>
          <w:bCs/>
          <w:b/>
        </w:rPr>
        <w:t xml:space="preserve">Budget Request:</w:t>
      </w:r>
      <w:r>
        <w:t xml:space="preserve"> </w:t>
      </w:r>
      <w:r>
        <w:t xml:space="preserve">$1,850,000 USD (allocated as: $750K equipment/labs; $650K field trials; $350K personnel training; $100K community engagement)</w:t>
      </w:r>
    </w:p>
    <w:bookmarkEnd w:id="26"/>
    <w:bookmarkStart w:id="27" w:name="conclusion"/>
    <w:p>
      <w:pPr>
        <w:pStyle w:val="Heading2"/>
      </w:pPr>
      <w:r>
        <w:t xml:space="preserve">8. Conclusion</w:t>
      </w:r>
    </w:p>
    <w:p>
      <w:pPr>
        <w:pStyle w:val="FirstParagraph"/>
      </w:pPr>
      <w:r>
        <w:t xml:space="preserve">Kuwait City stands at an inflection point where petroleum engineering innovation is not merely technical but existential for national development. This Research Proposal positions the Petroleum Engineer as a strategic asset—not just a technician, but a catalyst for sustainable growth. By embedding our findings within Kuwait's Vision 2035 framework and prioritizing urban operational integrity, this project will deliver immediate economic returns while establishing Kuwait City as an exemplar of responsible energy leadership in the Gulf region. The proposed methodology bridges global best practices with local realities, ensuring that every advancement serves both the nation's hydrocarbon legacy and its people's future.</w:t>
      </w:r>
    </w:p>
    <w:bookmarkEnd w:id="27"/>
    <w:bookmarkStart w:id="28" w:name="references"/>
    <w:p>
      <w:pPr>
        <w:pStyle w:val="Heading2"/>
      </w:pPr>
      <w:r>
        <w:t xml:space="preserve">References</w:t>
      </w:r>
    </w:p>
    <w:p>
      <w:pPr>
        <w:numPr>
          <w:ilvl w:val="0"/>
          <w:numId w:val="1004"/>
        </w:numPr>
        <w:pStyle w:val="Compact"/>
      </w:pPr>
      <w:r>
        <w:t xml:space="preserve">Al-Kaabi, M. et al. (2020). *Carbonate Reservoir Characterization in Middle Eastern Oilfields*. SPE Journal.</w:t>
      </w:r>
    </w:p>
    <w:p>
      <w:pPr>
        <w:numPr>
          <w:ilvl w:val="0"/>
          <w:numId w:val="1004"/>
        </w:numPr>
        <w:pStyle w:val="Compact"/>
      </w:pPr>
      <w:r>
        <w:t xml:space="preserve">Kuwait Oil Company. (2023). *Annual Technical Report: Reservoir Management Strategies*.</w:t>
      </w:r>
    </w:p>
    <w:p>
      <w:pPr>
        <w:numPr>
          <w:ilvl w:val="0"/>
          <w:numId w:val="1004"/>
        </w:numPr>
        <w:pStyle w:val="Compact"/>
      </w:pPr>
      <w:r>
        <w:t xml:space="preserve">Kuwait National Environment Strategy 2035. (2021). Ministry of Environment, Kuwait City.</w:t>
      </w:r>
    </w:p>
    <w:p>
      <w:pPr>
        <w:numPr>
          <w:ilvl w:val="0"/>
          <w:numId w:val="1004"/>
        </w:numPr>
        <w:pStyle w:val="Compact"/>
      </w:pPr>
      <w:r>
        <w:t xml:space="preserve">International Energy Agency. (2024). *Carbon Intensity Benchmarking for Gulf Oil Producers*.</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Excellence in Kuwait City</dc:title>
  <dc:creator/>
  <dc:language>en</dc:language>
  <cp:keywords/>
  <dcterms:created xsi:type="dcterms:W3CDTF">2026-07-21T05:58:18Z</dcterms:created>
  <dcterms:modified xsi:type="dcterms:W3CDTF">2026-07-21T05:58:18Z</dcterms:modified>
</cp:coreProperties>
</file>

<file path=docProps/custom.xml><?xml version="1.0" encoding="utf-8"?>
<Properties xmlns="http://schemas.openxmlformats.org/officeDocument/2006/custom-properties" xmlns:vt="http://schemas.openxmlformats.org/officeDocument/2006/docPropsVTypes"/>
</file>