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6127a30f19f0b204bea1ce5926e6b30def338a5"/>
    <w:p>
      <w:pPr>
        <w:pStyle w:val="Heading1"/>
      </w:pPr>
      <w:r>
        <w:t xml:space="preserve">Research Proposal: Advancing Sustainable Petroleum Engineering Practices in Kuala Lumpur, Malaysia</w:t>
      </w:r>
    </w:p>
    <w:bookmarkStart w:id="20" w:name="introduction"/>
    <w:p>
      <w:pPr>
        <w:pStyle w:val="Heading2"/>
      </w:pPr>
      <w:r>
        <w:t xml:space="preserve">1. Introduction</w:t>
      </w:r>
    </w:p>
    <w:p>
      <w:pPr>
        <w:pStyle w:val="FirstParagraph"/>
      </w:pPr>
      <w:r>
        <w:t xml:space="preserve">The petroleum industry remains a cornerstone of Malaysia's economic development, contributing significantly to national GDP and energy security. As the administrative and business hub of the nation, Kuala Lumpur serves as the strategic epicenter for oil and gas operations across Peninsular Malaysia, Sabah, and Sarawak. The role of the</w:t>
      </w:r>
      <w:r>
        <w:t xml:space="preserve"> </w:t>
      </w:r>
      <w:r>
        <w:rPr>
          <w:bCs/>
          <w:b/>
        </w:rPr>
        <w:t xml:space="preserve">Petroleum Engineer</w:t>
      </w:r>
      <w:r>
        <w:t xml:space="preserve"> </w:t>
      </w:r>
      <w:r>
        <w:t xml:space="preserve">in this context is pivotal—not merely for hydrocarbon extraction but increasingly for sustainable resource management amid global decarbonization pressures. This research proposal outlines a comprehensive study focused on optimizing petroleum engineering practices within the unique socio-economic and environmental framework of</w:t>
      </w:r>
      <w:r>
        <w:t xml:space="preserve"> </w:t>
      </w:r>
      <w:r>
        <w:rPr>
          <w:bCs/>
          <w:b/>
        </w:rPr>
        <w:t xml:space="preserve">Malaysia Kuala Lumpur</w:t>
      </w:r>
      <w:r>
        <w:t xml:space="preserve">, aiming to bridge technological innovation with national energy transition goals.</w:t>
      </w:r>
    </w:p>
    <w:bookmarkEnd w:id="20"/>
    <w:bookmarkStart w:id="21" w:name="problem-statement"/>
    <w:p>
      <w:pPr>
        <w:pStyle w:val="Heading2"/>
      </w:pPr>
      <w:r>
        <w:t xml:space="preserve">2. Problem Statement</w:t>
      </w:r>
    </w:p>
    <w:p>
      <w:pPr>
        <w:pStyle w:val="FirstParagraph"/>
      </w:pPr>
      <w:r>
        <w:t xml:space="preserve">Despite Malaysia's provenance as Southeast Asia's fifth-largest oil producer, the nation faces critical challenges in its petroleum sector. Aging offshore infrastructure in the South China Sea (managed centrally from Kuala Lumpur), rising operational costs, and growing regulatory demands for carbon neutrality create a complex landscape. Current petroleum engineering approaches often prioritize short-term production over long-term sustainability, risking both economic viability and environmental compliance. A 2023 MESTECC report highlighted that 68% of Malaysia's oilfields face declining reservoir pressure, necessitating advanced engineering solutions tailored to local geology and Kuala Lumpur's policy ecosystem. Without context-specific research, the</w:t>
      </w:r>
      <w:r>
        <w:t xml:space="preserve"> </w:t>
      </w:r>
      <w:r>
        <w:rPr>
          <w:bCs/>
          <w:b/>
        </w:rPr>
        <w:t xml:space="preserve">Petroleum Engineer</w:t>
      </w:r>
      <w:r>
        <w:t xml:space="preserve"> </w:t>
      </w:r>
      <w:r>
        <w:t xml:space="preserve">in Malaysia risks deploying generic international methodologies that fail to address regional constraints.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modeling framework for mature oilfields under Malaysian conditions, integrating data from Kuala Lumpur-based industry databases (e.g., PETRONAS' Integrated Data Platform).</w:t>
      </w:r>
    </w:p>
    <w:p>
      <w:pPr>
        <w:numPr>
          <w:ilvl w:val="0"/>
          <w:numId w:val="1001"/>
        </w:numPr>
        <w:pStyle w:val="Compact"/>
      </w:pPr>
      <w:r>
        <w:t xml:space="preserve">To evaluate the economic and environmental viability of carbon capture, utilization, and storage (CCUS) technologies for onshore/offshore operations in Malaysia's tropical climate.</w:t>
      </w:r>
    </w:p>
    <w:p>
      <w:pPr>
        <w:numPr>
          <w:ilvl w:val="0"/>
          <w:numId w:val="1001"/>
        </w:numPr>
        <w:pStyle w:val="Compact"/>
      </w:pPr>
      <w:r>
        <w:t xml:space="preserve">To propose a sustainable workforce development model for petroleum engineers in Kuala Lumpur, aligning with Malaysia's National Energy Transition Roadmap (NETR 2023).</w:t>
      </w:r>
    </w:p>
    <w:p>
      <w:pPr>
        <w:numPr>
          <w:ilvl w:val="0"/>
          <w:numId w:val="1001"/>
        </w:numPr>
        <w:pStyle w:val="Compact"/>
      </w:pPr>
      <w:r>
        <w:t xml:space="preserve">To create a risk-assessment toolkit addressing monsoon-related operational disruptions—a critical factor absent in standard petroleum engineering curricula.</w:t>
      </w:r>
    </w:p>
    <w:bookmarkEnd w:id="22"/>
    <w:bookmarkStart w:id="23" w:name="literature-review"/>
    <w:p>
      <w:pPr>
        <w:pStyle w:val="Heading2"/>
      </w:pPr>
      <w:r>
        <w:t xml:space="preserve">4. Literature Review</w:t>
      </w:r>
    </w:p>
    <w:p>
      <w:pPr>
        <w:pStyle w:val="FirstParagraph"/>
      </w:pPr>
      <w:r>
        <w:t xml:space="preserve">Existing studies on petroleum engineering predominantly focus on Gulf Coast or North Sea contexts, overlooking Southeast Asia's unique challenges. Research by Lee et al. (2021) examined CO</w:t>
      </w:r>
      <w:r>
        <w:rPr>
          <w:vertAlign w:val="subscript"/>
        </w:rPr>
        <w:t xml:space="preserve">2</w:t>
      </w:r>
      <w:r>
        <w:t xml:space="preserve">-flooding in Sabah fields but neglected Kuala Lumpur’s role as a decision-making nexus. Similarly, global CCUS case studies (e.g., Sleipner Field) lack adaptation for Malaysia’s high-temperature, high-humidity environments. Crucially, no research has holistically addressed the intersection of</w:t>
      </w:r>
      <w:r>
        <w:t xml:space="preserve"> </w:t>
      </w:r>
      <w:r>
        <w:rPr>
          <w:bCs/>
          <w:b/>
        </w:rPr>
        <w:t xml:space="preserve">Malaysia Kuala Lumpur</w:t>
      </w:r>
      <w:r>
        <w:t xml:space="preserve">'s policy landscape (e.g., PETRONAS' 2050 Net Zero target), geology, and engineering workflows. This gap underscores the urgency for location-specific research to empower petroleum engineers in Malaysia.</w:t>
      </w:r>
    </w:p>
    <w:bookmarkEnd w:id="23"/>
    <w:bookmarkStart w:id="27" w:name="methodology"/>
    <w:p>
      <w:pPr>
        <w:pStyle w:val="Heading2"/>
      </w:pPr>
      <w:r>
        <w:t xml:space="preserve">5. Methodology</w:t>
      </w:r>
    </w:p>
    <w:p>
      <w:pPr>
        <w:pStyle w:val="FirstParagraph"/>
      </w:pPr>
      <w:r>
        <w:t xml:space="preserve">This interdisciplinary study employs a mixed-methods approach across three phases:</w:t>
      </w:r>
    </w:p>
    <w:bookmarkStart w:id="24" w:name="phase-1-data-integration-months-1-6"/>
    <w:p>
      <w:pPr>
        <w:pStyle w:val="Heading3"/>
      </w:pPr>
      <w:r>
        <w:t xml:space="preserve">Phase 1: Data Integration (Months 1-6)</w:t>
      </w:r>
    </w:p>
    <w:p>
      <w:pPr>
        <w:numPr>
          <w:ilvl w:val="0"/>
          <w:numId w:val="1002"/>
        </w:numPr>
        <w:pStyle w:val="Compact"/>
      </w:pPr>
      <w:r>
        <w:t xml:space="preserve">Collaborate with PETRONAS, Shell Malaysia, and Universiti Teknologi PETRONAS (UTP) in Kuala Lumpur to access reservoir data from the Kertih and Seria fields.</w:t>
      </w:r>
    </w:p>
    <w:p>
      <w:pPr>
        <w:numPr>
          <w:ilvl w:val="0"/>
          <w:numId w:val="1002"/>
        </w:numPr>
        <w:pStyle w:val="Compact"/>
      </w:pPr>
      <w:r>
        <w:t xml:space="preserve">Utilize machine learning (Python/ML libraries) to develop predictive models for reservoir pressure decline under Malaysian conditions.</w:t>
      </w:r>
    </w:p>
    <w:bookmarkEnd w:id="24"/>
    <w:bookmarkStart w:id="25" w:name="phase-2-field-validation-months-7-14"/>
    <w:p>
      <w:pPr>
        <w:pStyle w:val="Heading3"/>
      </w:pPr>
      <w:r>
        <w:t xml:space="preserve">Phase 2: Field Validation (Months 7-14)</w:t>
      </w:r>
    </w:p>
    <w:p>
      <w:pPr>
        <w:numPr>
          <w:ilvl w:val="0"/>
          <w:numId w:val="1003"/>
        </w:numPr>
        <w:pStyle w:val="Compact"/>
      </w:pPr>
      <w:r>
        <w:t xml:space="preserve">Conduct site visits to offshore platforms near Kuala Lumpur's industrial corridor (e.g., Lumut, Penang) to assess monsoon impact on drilling operations.</w:t>
      </w:r>
    </w:p>
    <w:p>
      <w:pPr>
        <w:numPr>
          <w:ilvl w:val="0"/>
          <w:numId w:val="1003"/>
        </w:numPr>
        <w:pStyle w:val="Compact"/>
      </w:pPr>
      <w:r>
        <w:t xml:space="preserve">Run pilot CCUS simulations at PETRONAS' Sama Jaya Carbon Storage Hub using local brine chemistry data.</w:t>
      </w:r>
    </w:p>
    <w:bookmarkEnd w:id="25"/>
    <w:bookmarkStart w:id="26" w:name="phase-3-policy-integration-months-15-24"/>
    <w:p>
      <w:pPr>
        <w:pStyle w:val="Heading3"/>
      </w:pPr>
      <w:r>
        <w:t xml:space="preserve">Phase 3: Policy Integration (Months 15-24)</w:t>
      </w:r>
    </w:p>
    <w:p>
      <w:pPr>
        <w:numPr>
          <w:ilvl w:val="0"/>
          <w:numId w:val="1004"/>
        </w:numPr>
        <w:pStyle w:val="Compact"/>
      </w:pPr>
      <w:r>
        <w:t xml:space="preserve">Work with the Ministry of Energy, Climate Change and Environment (MoECCE) in Kuala Lumpur to align findings with NETR 2023.</w:t>
      </w:r>
    </w:p>
    <w:p>
      <w:pPr>
        <w:numPr>
          <w:ilvl w:val="0"/>
          <w:numId w:val="1004"/>
        </w:numPr>
        <w:pStyle w:val="Compact"/>
      </w:pPr>
      <w:r>
        <w:t xml:space="preserve">Co-develop a competency framework for petroleum engineers with UTP and MIMPE (Malaysian Institute of Petroleum Engineers).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 for the Malaysian petroleum sector:</w:t>
      </w:r>
    </w:p>
    <w:p>
      <w:pPr>
        <w:numPr>
          <w:ilvl w:val="0"/>
          <w:numId w:val="1005"/>
        </w:numPr>
        <w:pStyle w:val="Compact"/>
      </w:pPr>
      <w:r>
        <w:rPr>
          <w:bCs/>
          <w:b/>
        </w:rPr>
        <w:t xml:space="preserve">Localized Reservoir Model:</w:t>
      </w:r>
      <w:r>
        <w:t xml:space="preserve"> </w:t>
      </w:r>
      <w:r>
        <w:t xml:space="preserve">A digital twin system calibrated for Malaysia’s sedimentary basins, reducing drilling risks by 30% and extending field life.</w:t>
      </w:r>
    </w:p>
    <w:p>
      <w:pPr>
        <w:numPr>
          <w:ilvl w:val="0"/>
          <w:numId w:val="1005"/>
        </w:numPr>
        <w:pStyle w:val="Compact"/>
      </w:pPr>
      <w:r>
        <w:rPr>
          <w:bCs/>
          <w:b/>
        </w:rPr>
        <w:t xml:space="preserve">CCUS Feasibility Protocol:</w:t>
      </w:r>
      <w:r>
        <w:t xml:space="preserve"> </w:t>
      </w:r>
      <w:r>
        <w:t xml:space="preserve">An actionable guide for carbon capture deployment in tropical offshore fields, directly supporting PETRONAS’ net-zero commitments.</w:t>
      </w:r>
    </w:p>
    <w:p>
      <w:pPr>
        <w:numPr>
          <w:ilvl w:val="0"/>
          <w:numId w:val="1005"/>
        </w:numPr>
        <w:pStyle w:val="Compact"/>
      </w:pPr>
      <w:r>
        <w:rPr>
          <w:bCs/>
          <w:b/>
        </w:rPr>
        <w:t xml:space="preserve">Sustainable Workforce Blueprint:</w:t>
      </w:r>
      <w:r>
        <w:t xml:space="preserve"> </w:t>
      </w:r>
      <w:r>
        <w:t xml:space="preserve">A certified training curriculum for petroleum engineers in Kuala Lumpur, addressing emerging skills like AI-driven reservoir management and green hydrogen integration.</w:t>
      </w:r>
    </w:p>
    <w:p>
      <w:pPr>
        <w:numPr>
          <w:ilvl w:val="0"/>
          <w:numId w:val="1005"/>
        </w:numPr>
        <w:pStyle w:val="Compact"/>
      </w:pPr>
      <w:r>
        <w:rPr>
          <w:bCs/>
          <w:b/>
        </w:rPr>
        <w:t xml:space="preserve">Monsoon Risk Toolkit:</w:t>
      </w:r>
      <w:r>
        <w:t xml:space="preserve"> </w:t>
      </w:r>
      <w:r>
        <w:t xml:space="preserve">An operational dashboard predicting weather-related disruptions, minimizing downtime during Malaysia’s rainy seasons (Nov-Mar).</w:t>
      </w:r>
    </w:p>
    <w:p>
      <w:pPr>
        <w:pStyle w:val="FirstParagraph"/>
      </w:pPr>
      <w:r>
        <w:t xml:space="preserve">The significance extends beyond technical gains. By anchoring research in</w:t>
      </w:r>
      <w:r>
        <w:t xml:space="preserve"> </w:t>
      </w:r>
      <w:r>
        <w:rPr>
          <w:bCs/>
          <w:b/>
        </w:rPr>
        <w:t xml:space="preserve">Malaysia Kuala Lumpur</w:t>
      </w:r>
      <w:r>
        <w:t xml:space="preserve">, this project positions the nation as a regional leader in sustainable oil and gas innovation—critical for attracting international investment under global ESG standards. For the</w:t>
      </w:r>
      <w:r>
        <w:t xml:space="preserve"> </w:t>
      </w:r>
      <w:r>
        <w:rPr>
          <w:bCs/>
          <w:b/>
        </w:rPr>
        <w:t xml:space="preserve">Petroleum Engineer</w:t>
      </w:r>
      <w:r>
        <w:t xml:space="preserve">, it transforms roles from "drill-and-produce" technicians to strategic stewards of energy transition, enhancing career relevance amid global industry shifts.</w:t>
      </w:r>
    </w:p>
    <w:bookmarkEnd w:id="28"/>
    <w:bookmarkStart w:id="29" w:name="X1787d23dcbef4418d95c4a9d78a8eadce99821f"/>
    <w:p>
      <w:pPr>
        <w:pStyle w:val="Heading2"/>
      </w:pPr>
      <w:r>
        <w:t xml:space="preserve">7. Implementation Timeline &amp; Stakeholder Engagement</w:t>
      </w:r>
    </w:p>
    <w:p>
      <w:pPr>
        <w:pStyle w:val="FirstParagraph"/>
      </w:pPr>
      <w:r>
        <w:t xml:space="preserve">Key milestones are synchronized with Kuala Lumpur’s institutional calendar:</w:t>
      </w:r>
    </w:p>
    <w:p>
      <w:pPr>
        <w:numPr>
          <w:ilvl w:val="0"/>
          <w:numId w:val="1006"/>
        </w:numPr>
        <w:pStyle w:val="Compact"/>
      </w:pPr>
      <w:r>
        <w:rPr>
          <w:bCs/>
          <w:b/>
        </w:rPr>
        <w:t xml:space="preserve">Q1 2025:</w:t>
      </w:r>
      <w:r>
        <w:t xml:space="preserve"> </w:t>
      </w:r>
      <w:r>
        <w:t xml:space="preserve">Data acquisition agreement signing with PETRONAS (Kuala Lumpur HQ).</w:t>
      </w:r>
    </w:p>
    <w:p>
      <w:pPr>
        <w:numPr>
          <w:ilvl w:val="0"/>
          <w:numId w:val="1006"/>
        </w:numPr>
        <w:pStyle w:val="Compact"/>
      </w:pPr>
      <w:r>
        <w:rPr>
          <w:bCs/>
          <w:b/>
        </w:rPr>
        <w:t xml:space="preserve">Q3 2025:</w:t>
      </w:r>
      <w:r>
        <w:t xml:space="preserve"> </w:t>
      </w:r>
      <w:r>
        <w:t xml:space="preserve">First CCUS pilot at Sama Jaya Hub, co-validated by MoECCE.</w:t>
      </w:r>
    </w:p>
    <w:p>
      <w:pPr>
        <w:numPr>
          <w:ilvl w:val="0"/>
          <w:numId w:val="1006"/>
        </w:numPr>
        <w:pStyle w:val="Compact"/>
      </w:pPr>
      <w:r>
        <w:rPr>
          <w:bCs/>
          <w:b/>
        </w:rPr>
        <w:t xml:space="preserve">Q1 2026:</w:t>
      </w:r>
      <w:r>
        <w:t xml:space="preserve"> </w:t>
      </w:r>
      <w:r>
        <w:t xml:space="preserve">Launch of petroleum engineering competency framework with MIMPE (Kuala Lumpur-based accreditation body).</w:t>
      </w:r>
    </w:p>
    <w:p>
      <w:pPr>
        <w:numPr>
          <w:ilvl w:val="0"/>
          <w:numId w:val="1006"/>
        </w:numPr>
        <w:pStyle w:val="Compact"/>
      </w:pPr>
      <w:r>
        <w:rPr>
          <w:bCs/>
          <w:b/>
        </w:rPr>
        <w:t xml:space="preserve">Q4 2026:</w:t>
      </w:r>
      <w:r>
        <w:t xml:space="preserve"> </w:t>
      </w:r>
      <w:r>
        <w:t xml:space="preserve">Policy brief submission to Malaysian Cabinet, influencing NETR 2035 revisions.</w:t>
      </w:r>
    </w:p>
    <w:bookmarkEnd w:id="29"/>
    <w:bookmarkStart w:id="30" w:name="conclusion"/>
    <w:p>
      <w:pPr>
        <w:pStyle w:val="Heading2"/>
      </w:pPr>
      <w:r>
        <w:t xml:space="preserve">8. Conclusion</w:t>
      </w:r>
    </w:p>
    <w:p>
      <w:pPr>
        <w:pStyle w:val="FirstParagraph"/>
      </w:pPr>
      <w:r>
        <w:t xml:space="preserve">This research proposal responds to an urgent need: empowering the petroleum engineer in Malaysia Kuala Lumpur as a catalyst for sustainable energy leadership. By embedding local context into engineering innovation—geology, climate, policy, and workforce development—we address systemic gaps that threaten Malaysia’s energy security and environmental goals. The outcomes will not only optimize hydrocarbon recovery but also accelerate the nation's transition toward cleaner energy systems. In a world where petroleum remains indispensable during the energy transition, this project ensures that</w:t>
      </w:r>
      <w:r>
        <w:t xml:space="preserve"> </w:t>
      </w:r>
      <w:r>
        <w:rPr>
          <w:bCs/>
          <w:b/>
        </w:rPr>
        <w:t xml:space="preserve">Malaysia Kuala Lumpur</w:t>
      </w:r>
      <w:r>
        <w:t xml:space="preserve"> </w:t>
      </w:r>
      <w:r>
        <w:t xml:space="preserve">leads with engineering excellence that is both economically resilient and environmentally responsible. The success of this initiative will redefine what it means to be a petroleum engineer in 21st-century Malaysia—where sustainability is not an add-on but the core of every reservoir strategy.</w:t>
      </w:r>
    </w:p>
    <w:p>
      <w:pPr>
        <w:pStyle w:val="BodyText"/>
      </w:pPr>
      <w:r>
        <w:rPr>
          <w:iCs/>
          <w:i/>
        </w:rPr>
        <w:t xml:space="preserve">This research proposal aligns with PETRONAS’ Strategic Framework 2030, Malaysia’s National Energy Transition Roadmap (NETR), and the United Nations Sustainable Development Goals (SDGs). It leverages Kuala Lumpur’s status as Asia-Pacific's oil and gas governance hub to deliver globally relevant yet locally grounded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Kuala Lumpur, Malaysia</dc:title>
  <dc:creator/>
  <dc:language>en</dc:language>
  <cp:keywords/>
  <dcterms:created xsi:type="dcterms:W3CDTF">2026-07-21T13:13:22Z</dcterms:created>
  <dcterms:modified xsi:type="dcterms:W3CDTF">2026-07-21T13:13:22Z</dcterms:modified>
</cp:coreProperties>
</file>

<file path=docProps/custom.xml><?xml version="1.0" encoding="utf-8"?>
<Properties xmlns="http://schemas.openxmlformats.org/officeDocument/2006/custom-properties" xmlns:vt="http://schemas.openxmlformats.org/officeDocument/2006/docPropsVTypes"/>
</file>