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Oilfield</w:t>
      </w:r>
      <w:r>
        <w:t xml:space="preserve"> </w:t>
      </w:r>
      <w:r>
        <w:t xml:space="preserve">Operations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a0b792d224a0722ff9df4d77cf18be612d799d8"/>
    <w:p>
      <w:pPr>
        <w:pStyle w:val="Heading1"/>
      </w:pPr>
      <w:r>
        <w:t xml:space="preserve">Research Proposal: Optimizing Enhanced Oil Recovery Techniques for Mature Fields in United Arab Emirates Dubai</w:t>
      </w:r>
    </w:p>
    <w:bookmarkStart w:id="20" w:name="introduction"/>
    <w:p>
      <w:pPr>
        <w:pStyle w:val="Heading2"/>
      </w:pPr>
      <w:r>
        <w:t xml:space="preserve">1. Introduction</w:t>
      </w:r>
    </w:p>
    <w:p>
      <w:pPr>
        <w:pStyle w:val="FirstParagraph"/>
      </w:pPr>
      <w:r>
        <w:t xml:space="preserve">The petroleum industry remains a cornerstone of economic development in the</w:t>
      </w:r>
      <w:r>
        <w:t xml:space="preserve"> </w:t>
      </w:r>
      <w:r>
        <w:rPr>
          <w:bCs/>
          <w:b/>
        </w:rPr>
        <w:t xml:space="preserve">United Arab Emirates Dubai</w:t>
      </w:r>
      <w:r>
        <w:t xml:space="preserve">, where strategic energy policies drive sustainable growth amid global transition trends. As a leading hub for energy innovation, Dubai continues to leverage its historical oil resources while advancing toward Vision 2030 goals of economic diversification and environmental stewardship. This</w:t>
      </w:r>
      <w:r>
        <w:t xml:space="preserve"> </w:t>
      </w:r>
      <w:r>
        <w:rPr>
          <w:bCs/>
          <w:b/>
        </w:rPr>
        <w:t xml:space="preserve">Research Proposal</w:t>
      </w:r>
      <w:r>
        <w:t xml:space="preserve"> </w:t>
      </w:r>
      <w:r>
        <w:t xml:space="preserve">addresses a critical gap in optimizing mature field operations through cutting-edge</w:t>
      </w:r>
      <w:r>
        <w:t xml:space="preserve"> </w:t>
      </w:r>
      <w:r>
        <w:rPr>
          <w:bCs/>
          <w:b/>
        </w:rPr>
        <w:t xml:space="preserve">Petroleum Engineer</w:t>
      </w:r>
      <w:r>
        <w:t xml:space="preserve">-driven solutions tailored specifically for Dubai's geological and operational context. With declining production rates in established fields like Ghafa and Khorfakkan, this project positions Dubai as an innovator in responsible hydrocarbon management within the Gulf region.</w:t>
      </w:r>
    </w:p>
    <w:bookmarkEnd w:id="20"/>
    <w:bookmarkStart w:id="21" w:name="problem-statement"/>
    <w:p>
      <w:pPr>
        <w:pStyle w:val="Heading2"/>
      </w:pPr>
      <w:r>
        <w:t xml:space="preserve">2. Problem Statement</w:t>
      </w:r>
    </w:p>
    <w:p>
      <w:pPr>
        <w:pStyle w:val="FirstParagraph"/>
      </w:pPr>
      <w:r>
        <w:t xml:space="preserve">Dubai's mature oil reservoirs exhibit recovery rates below 35%, significantly lower than global benchmarks for enhanced recovery techniques. Current operational strategies rely heavily on conventional waterflooding, resulting in substantial hydrocarbon reserves being left underground. Simultaneously, the</w:t>
      </w:r>
      <w:r>
        <w:t xml:space="preserve"> </w:t>
      </w:r>
      <w:r>
        <w:rPr>
          <w:bCs/>
          <w:b/>
        </w:rPr>
        <w:t xml:space="preserve">United Arab Emirates Dubai</w:t>
      </w:r>
      <w:r>
        <w:t xml:space="preserve"> </w:t>
      </w:r>
      <w:r>
        <w:t xml:space="preserve">government has mandated a 20% reduction in carbon intensity by 2030 (UAE Energy Strategy 2050), creating urgent pressure for</w:t>
      </w:r>
      <w:r>
        <w:t xml:space="preserve"> </w:t>
      </w:r>
      <w:r>
        <w:rPr>
          <w:bCs/>
          <w:b/>
        </w:rPr>
        <w:t xml:space="preserve">Petroleum Engineer</w:t>
      </w:r>
      <w:r>
        <w:t xml:space="preserve">s to develop low-carbon recovery methods. Without intervention, Dubai faces $18B in potential lost revenue over the next decade while failing to meet national sustainability targets. This research directly addresses these dual challenges through field-specific technological innovation.</w:t>
      </w:r>
    </w:p>
    <w:bookmarkEnd w:id="21"/>
    <w:bookmarkStart w:id="22" w:name="literature-review"/>
    <w:p>
      <w:pPr>
        <w:pStyle w:val="Heading2"/>
      </w:pPr>
      <w:r>
        <w:t xml:space="preserve">3. Literature Review</w:t>
      </w:r>
    </w:p>
    <w:p>
      <w:pPr>
        <w:pStyle w:val="FirstParagraph"/>
      </w:pPr>
      <w:r>
        <w:t xml:space="preserve">Existing studies on enhanced oil recovery (EOR) in the Gulf focus primarily on Abu Dhabi's carbonate reservoirs, with limited Dubai-specific analysis. Recent publications (Al-Harbi et al., 2023; UAE Ministry of Energy, 2024) confirm that thermal methods like steam injection face feasibility barriers due to Dubai's shallow reservoir depths (1,800–3,500m) and high water cut. Chemical EOR shows promise but lacks case studies for Dubai's unique brine chemistry (total dissolved solids: 75,000–95,000 ppm). Meanwhile, carbon dioxide injection has been explored in Abu Dhabi's onshore fields but remains untested for Dubai's heterogeneous sandstone formations. This research bridges this critical knowledge gap through localized data collection and simulation.</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reservoir model incorporating Dubai-specific geological parameters (porosity: 18–25%, permeability: 300–1,200 md) using field data from Dubai Petroleum Company's Ghafa Field.</w:t>
      </w:r>
    </w:p>
    <w:p>
      <w:pPr>
        <w:numPr>
          <w:ilvl w:val="0"/>
          <w:numId w:val="1001"/>
        </w:numPr>
        <w:pStyle w:val="Compact"/>
      </w:pPr>
      <w:r>
        <w:t xml:space="preserve">To evaluate the economic viability of nanofluid-assisted polymer flooding for Dubai's reservoirs, comparing it against conventional EOR methods.</w:t>
      </w:r>
    </w:p>
    <w:p>
      <w:pPr>
        <w:numPr>
          <w:ilvl w:val="0"/>
          <w:numId w:val="1001"/>
        </w:numPr>
        <w:pStyle w:val="Compact"/>
      </w:pPr>
      <w:r>
        <w:t xml:space="preserve">To quantify carbon footprint reduction potential through optimized injection strategies aligned with UAE’s Net Zero 2050 roadmap.</w:t>
      </w:r>
    </w:p>
    <w:p>
      <w:pPr>
        <w:numPr>
          <w:ilvl w:val="0"/>
          <w:numId w:val="1001"/>
        </w:numPr>
        <w:pStyle w:val="Compact"/>
      </w:pPr>
      <w:r>
        <w:t xml:space="preserve">To establish a decision framework for</w:t>
      </w:r>
      <w:r>
        <w:t xml:space="preserve"> </w:t>
      </w:r>
      <w:r>
        <w:rPr>
          <w:bCs/>
          <w:b/>
        </w:rPr>
        <w:t xml:space="preserve">Petroleum Engineer</w:t>
      </w:r>
      <w:r>
        <w:t xml:space="preserve">s implementing sustainable recovery techniques across Dubai's oil assets.</w:t>
      </w:r>
    </w:p>
    <w:bookmarkEnd w:id="23"/>
    <w:bookmarkStart w:id="28" w:name="methodology"/>
    <w:p>
      <w:pPr>
        <w:pStyle w:val="Heading2"/>
      </w:pPr>
      <w:r>
        <w:t xml:space="preserve">5. Methodology</w:t>
      </w:r>
    </w:p>
    <w:p>
      <w:pPr>
        <w:pStyle w:val="FirstParagraph"/>
      </w:pPr>
      <w:r>
        <w:t xml:space="preserve">This interdisciplinary project employs a four-phase approach:</w:t>
      </w:r>
    </w:p>
    <w:bookmarkStart w:id="24" w:name="phase-1-data-integration-months-1-3"/>
    <w:p>
      <w:pPr>
        <w:pStyle w:val="Heading3"/>
      </w:pPr>
      <w:r>
        <w:t xml:space="preserve">Phase 1: Data Integration (Months 1-3)</w:t>
      </w:r>
    </w:p>
    <w:p>
      <w:pPr>
        <w:pStyle w:val="FirstParagraph"/>
      </w:pPr>
      <w:r>
        <w:t xml:space="preserve">Collaborate with Dubai Petroleum and ADNOC to acquire core samples, production logs, and seismic data from three mature fields. Utilize machine learning algorithms to identify patterns in decline curves specific to Dubai's geology.</w:t>
      </w:r>
    </w:p>
    <w:bookmarkEnd w:id="24"/>
    <w:bookmarkStart w:id="25" w:name="phase-2-reservoir-simulation-months-4-6"/>
    <w:p>
      <w:pPr>
        <w:pStyle w:val="Heading3"/>
      </w:pPr>
      <w:r>
        <w:t xml:space="preserve">Phase 2: Reservoir Simulation (Months 4-6)</w:t>
      </w:r>
    </w:p>
    <w:p>
      <w:pPr>
        <w:pStyle w:val="FirstParagraph"/>
      </w:pPr>
      <w:r>
        <w:t xml:space="preserve">Deploy Petrel® and CMG software for high-fidelity simulation of nanofluid-polymer injection scenarios. Incorporate Dubai’s brine chemistry data to model viscosity, interfacial tension, and sweep efficiency. Test 12 parameter combinations across varying reservoir temperatures (50–80°C).</w:t>
      </w:r>
    </w:p>
    <w:bookmarkEnd w:id="25"/>
    <w:bookmarkStart w:id="26" w:name="Xed1b0f1ff8df2a1fc9b324971497d0b0c53383f"/>
    <w:p>
      <w:pPr>
        <w:pStyle w:val="Heading3"/>
      </w:pPr>
      <w:r>
        <w:t xml:space="preserve">Phase 3: Economic &amp; Environmental Assessment (Months 7-9)</w:t>
      </w:r>
    </w:p>
    <w:p>
      <w:pPr>
        <w:pStyle w:val="FirstParagraph"/>
      </w:pPr>
      <w:r>
        <w:t xml:space="preserve">Conduct LCA (Life Cycle Assessment) using SimaPro® to measure carbon intensity per barrel. Perform NPV analysis comparing breakeven points against Dubai's $85/barrel oil price benchmark. Include UAE’s carbon tax rate ($10/ton CO₂e) in financial modeling.</w:t>
      </w:r>
    </w:p>
    <w:bookmarkEnd w:id="26"/>
    <w:bookmarkStart w:id="27" w:name="X530a7c7b2973a85ada8e712481fd539547a5505"/>
    <w:p>
      <w:pPr>
        <w:pStyle w:val="Heading3"/>
      </w:pPr>
      <w:r>
        <w:t xml:space="preserve">Phase 4: Stakeholder Integration (Months 10-12)</w:t>
      </w:r>
    </w:p>
    <w:p>
      <w:pPr>
        <w:pStyle w:val="FirstParagraph"/>
      </w:pPr>
      <w:r>
        <w:t xml:space="preserve">Co-develop implementation protocols with Dubai Energy Authority and local</w:t>
      </w:r>
      <w:r>
        <w:t xml:space="preserve"> </w:t>
      </w:r>
      <w:r>
        <w:rPr>
          <w:bCs/>
          <w:b/>
        </w:rPr>
        <w:t xml:space="preserve">Petroleum Engineer</w:t>
      </w:r>
      <w:r>
        <w:t xml:space="preserve">s. Host workshops at EXPO City Dubai to align findings with national sustainability frameworks like the Emirates Environmental Group guidelines.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2"/>
        </w:numPr>
        <w:pStyle w:val="Compact"/>
      </w:pPr>
      <w:r>
        <w:rPr>
          <w:bCs/>
          <w:b/>
        </w:rPr>
        <w:t xml:space="preserve">Localized EOR Protocol:</w:t>
      </w:r>
      <w:r>
        <w:t xml:space="preserve"> </w:t>
      </w:r>
      <w:r>
        <w:t xml:space="preserve">A Dubai-specific technical manual for polymer-nanofluid injection, projected to increase recovery rates by 12–18% (vs. 6–9% in current methods) while reducing freshwater consumption by 40%, addressing Dubai's water scarcity challenges.</w:t>
      </w:r>
    </w:p>
    <w:p>
      <w:pPr>
        <w:numPr>
          <w:ilvl w:val="0"/>
          <w:numId w:val="1002"/>
        </w:numPr>
        <w:pStyle w:val="Compact"/>
      </w:pPr>
      <w:r>
        <w:rPr>
          <w:bCs/>
          <w:b/>
        </w:rPr>
        <w:t xml:space="preserve">Sustainability Dashboard:</w:t>
      </w:r>
      <w:r>
        <w:t xml:space="preserve"> </w:t>
      </w:r>
      <w:r>
        <w:t xml:space="preserve">A digital tool for</w:t>
      </w:r>
      <w:r>
        <w:t xml:space="preserve"> </w:t>
      </w:r>
      <w:r>
        <w:rPr>
          <w:bCs/>
          <w:b/>
        </w:rPr>
        <w:t xml:space="preserve">Petroleum Engineer</w:t>
      </w:r>
      <w:r>
        <w:t xml:space="preserve">s to monitor real-time carbon intensity during operations, directly supporting UAE’s Green Agenda 2030.</w:t>
      </w:r>
    </w:p>
    <w:p>
      <w:pPr>
        <w:numPr>
          <w:ilvl w:val="0"/>
          <w:numId w:val="1002"/>
        </w:numPr>
        <w:pStyle w:val="Compact"/>
      </w:pPr>
      <w:r>
        <w:rPr>
          <w:bCs/>
          <w:b/>
        </w:rPr>
        <w:t xml:space="preserve">Policy Framework:</w:t>
      </w:r>
      <w:r>
        <w:t xml:space="preserve"> </w:t>
      </w:r>
      <w:r>
        <w:t xml:space="preserve">Recommendations for revising Dubai's Oil and Gas Regulatory Authority guidelines on EOR approvals, with potential adoption across the</w:t>
      </w:r>
      <w:r>
        <w:t xml:space="preserve"> </w:t>
      </w:r>
      <w:r>
        <w:rPr>
          <w:bCs/>
          <w:b/>
        </w:rPr>
        <w:t xml:space="preserve">United Arab Emirates Dubai</w:t>
      </w:r>
      <w:r>
        <w:t xml:space="preserve"> </w:t>
      </w:r>
      <w:r>
        <w:t xml:space="preserve">energy sector.</w:t>
      </w:r>
    </w:p>
    <w:p>
      <w:pPr>
        <w:pStyle w:val="FirstParagraph"/>
      </w:pPr>
      <w:r>
        <w:t xml:space="preserve">The significance extends beyond economics: For every 1% recovery increase in Dubai fields, 25M barrels of oil become accessible—equivalent to powering 800,000 homes annually for a year while reducing emissions by 125,000 tons CO₂e. This positions</w:t>
      </w:r>
      <w:r>
        <w:t xml:space="preserve"> </w:t>
      </w:r>
      <w:r>
        <w:rPr>
          <w:bCs/>
          <w:b/>
        </w:rPr>
        <w:t xml:space="preserve">Petroleum Engineer</w:t>
      </w:r>
      <w:r>
        <w:t xml:space="preserve">s as pivotal agents in balancing energy security with climate action.</w:t>
      </w:r>
    </w:p>
    <w:bookmarkEnd w:id="29"/>
    <w:bookmarkStart w:id="30"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c>
          <w:tcPr/>
          <w:p>
            <w:pPr>
              <w:pStyle w:val="Compact"/>
            </w:pPr>
          </w:p>
        </w:tc>
      </w:tr>
      <w:tr>
        <w:tc>
          <w:tcPr/>
          <w:p>
            <w:pPr>
              <w:pStyle w:val="Compact"/>
              <w:jc w:val="left"/>
            </w:pPr>
            <w:r>
              <w:t xml:space="preserve">Data Integration</w:t>
            </w:r>
          </w:p>
        </w:tc>
        <w:tc>
          <w:tcPr/>
          <w:p>
            <w:pPr>
              <w:pStyle w:val="Compact"/>
              <w:jc w:val="left"/>
            </w:pPr>
            <w:r>
              <w:t xml:space="preserve">3 months</w:t>
            </w:r>
          </w:p>
        </w:tc>
        <w:tc>
          <w:tcPr/>
          <w:p>
            <w:pPr>
              <w:pStyle w:val="Compact"/>
              <w:jc w:val="left"/>
            </w:pPr>
            <w:r>
              <w:t xml:space="preserve">Dubai Petroleum Company data access, AI modeling licenses, geoscientist team (2)</w:t>
            </w:r>
          </w:p>
        </w:tc>
        <w:tc>
          <w:tcPr/>
          <w:p>
            <w:pPr>
              <w:pStyle w:val="Compact"/>
            </w:pPr>
          </w:p>
        </w:tc>
      </w:tr>
      <w:tr>
        <w:tc>
          <w:tcPr/>
          <w:p>
            <w:pPr>
              <w:pStyle w:val="Compact"/>
              <w:jc w:val="left"/>
            </w:pPr>
            <w:r>
              <w:t xml:space="preserve">Reservoir Simulation</w:t>
            </w:r>
          </w:p>
        </w:tc>
        <w:tc>
          <w:tcPr/>
          <w:p>
            <w:pPr>
              <w:pStyle w:val="Compact"/>
              <w:jc w:val="left"/>
            </w:pPr>
            <w:r>
              <w:t xml:space="preserve">3 months</w:t>
            </w:r>
          </w:p>
        </w:tc>
        <w:tc>
          <w:tcPr>
            <w:gridSpan w:val="2"/>
          </w:tcPr>
          <w:p>
            <w:pPr>
              <w:pStyle w:val="Compact"/>
              <w:jc w:val="left"/>
            </w:pPr>
            <w:r>
              <w:t xml:space="preserve">Petrel®/CMG software suite, high-performance computing cluster (UAE University collaboration)</w:t>
            </w:r>
          </w:p>
        </w:tc>
      </w:tr>
      <w:tr>
        <w:tc>
          <w:tcPr/>
          <w:p>
            <w:pPr>
              <w:pStyle w:val="Compact"/>
              <w:jc w:val="left"/>
            </w:pPr>
            <w:r>
              <w:t xml:space="preserve">Economic Assessment</w:t>
            </w:r>
          </w:p>
        </w:tc>
        <w:tc>
          <w:tcPr/>
          <w:p>
            <w:pPr>
              <w:pStyle w:val="Compact"/>
              <w:jc w:val="left"/>
            </w:pPr>
            <w:r>
              <w:t xml:space="preserve">3 months</w:t>
            </w:r>
          </w:p>
        </w:tc>
        <w:tc>
          <w:tcPr>
            <w:gridSpan w:val="2"/>
          </w:tcPr>
          <w:p>
            <w:pPr>
              <w:pStyle w:val="Compact"/>
              <w:jc w:val="left"/>
            </w:pPr>
            <w:r>
              <w:t xml:space="preserve">SimaPro license, UAE Ministry of Energy financial datasets</w:t>
            </w:r>
          </w:p>
        </w:tc>
      </w:tr>
      <w:tr>
        <w:tc>
          <w:tcPr/>
          <w:p>
            <w:pPr>
              <w:pStyle w:val="Compact"/>
              <w:jc w:val="left"/>
            </w:pPr>
            <w:r>
              <w:t xml:space="preserve">Stakeholder Integration</w:t>
            </w:r>
          </w:p>
        </w:tc>
        <w:tc>
          <w:tcPr/>
          <w:p>
            <w:pPr>
              <w:pStyle w:val="Compact"/>
              <w:jc w:val="left"/>
            </w:pPr>
            <w:r>
              <w:t xml:space="preserve">3 months</w:t>
            </w:r>
          </w:p>
        </w:tc>
        <w:tc>
          <w:tcPr>
            <w:gridSpan w:val="2"/>
          </w:tcPr>
          <w:p>
            <w:pPr>
              <w:pStyle w:val="Compact"/>
              <w:jc w:val="left"/>
            </w:pPr>
            <w:r>
              <w:t xml:space="preserve">Workshop venues (EXPO City Dubai), regulatory liaison team (3)</w:t>
            </w:r>
          </w:p>
        </w:tc>
      </w:tr>
    </w:tbl>
    <w:bookmarkEnd w:id="30"/>
    <w:bookmarkStart w:id="31"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represents a strategic imperative for the future of energy in the</w:t>
      </w:r>
      <w:r>
        <w:t xml:space="preserve"> </w:t>
      </w:r>
      <w:r>
        <w:rPr>
          <w:bCs/>
          <w:b/>
        </w:rPr>
        <w:t xml:space="preserve">United Arab Emirates Dubai</w:t>
      </w:r>
      <w:r>
        <w:t xml:space="preserve">. By developing EOR methodologies uniquely calibrated for Dubai's reservoir characteristics, it empowers the next generation of</w:t>
      </w:r>
      <w:r>
        <w:t xml:space="preserve"> </w:t>
      </w:r>
      <w:r>
        <w:rPr>
          <w:bCs/>
          <w:b/>
        </w:rPr>
        <w:t xml:space="preserve">Petroleum Engineer</w:t>
      </w:r>
      <w:r>
        <w:t xml:space="preserve">s to drive both economic value and environmental responsibility. The project directly supports Dubai’s Energy Strategy 2050 and UAE’s COP28 leadership by transforming legacy fields into models of circular hydrocarbon management. As a Petroleum Engineer in Dubai, I commit to delivering actionable insights that will not only maximize the lifespan of existing resources but also establish the emirate as a global benchmark for sustainable oilfield operations—proving that responsible extraction and climate action can advance hand-in-hand.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Oilfield Operations in United Arab Emirates Dubai</dc:title>
  <dc:creator/>
  <dc:language>en</dc:language>
  <cp:keywords/>
  <dcterms:created xsi:type="dcterms:W3CDTF">2026-07-23T11:33:54Z</dcterms:created>
  <dcterms:modified xsi:type="dcterms:W3CDTF">2026-07-23T11:33:54Z</dcterms:modified>
</cp:coreProperties>
</file>

<file path=docProps/custom.xml><?xml version="1.0" encoding="utf-8"?>
<Properties xmlns="http://schemas.openxmlformats.org/officeDocument/2006/custom-properties" xmlns:vt="http://schemas.openxmlformats.org/officeDocument/2006/docPropsVTypes"/>
</file>