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Practice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ff14033f56c663bd5ed2a0ca185cf39a5104ed"/>
    <w:p>
      <w:pPr>
        <w:pStyle w:val="Heading1"/>
      </w:pPr>
      <w:r>
        <w:t xml:space="preserve">Research Proposal: Optimizing Pharmacist Roles in Community Healthcare within Australia Melbourne Settings</w:t>
      </w:r>
    </w:p>
    <w:bookmarkStart w:id="20" w:name="introduction"/>
    <w:p>
      <w:pPr>
        <w:pStyle w:val="Heading2"/>
      </w:pPr>
      <w:r>
        <w:t xml:space="preserve">Introduction</w:t>
      </w:r>
    </w:p>
    <w:p>
      <w:pPr>
        <w:pStyle w:val="FirstParagraph"/>
      </w:pPr>
      <w:r>
        <w:t xml:space="preserve">The evolving healthcare landscape in Australia demands innovative solutions to address rising patient complexity and workforce shortages. As the cornerstone of community healthcare, the role of the</w:t>
      </w:r>
      <w:r>
        <w:t xml:space="preserve"> </w:t>
      </w:r>
      <w:r>
        <w:rPr>
          <w:iCs/>
          <w:i/>
        </w:rPr>
        <w:t xml:space="preserve">Pharmacist</w:t>
      </w:r>
      <w:r>
        <w:t xml:space="preserve"> </w:t>
      </w:r>
      <w:r>
        <w:t xml:space="preserve">has expanded beyond dispensing medications to encompass clinical advisory services, chronic disease management, and preventive health initiatives. In Melbourne—Australia's most populous city with its diverse demographic and complex healthcare needs—the strategic integration of pharmacists into primary care networks is critical. This</w:t>
      </w:r>
      <w:r>
        <w:t xml:space="preserve"> </w:t>
      </w:r>
      <w:r>
        <w:rPr>
          <w:bCs/>
          <w:b/>
        </w:rPr>
        <w:t xml:space="preserve">Research Proposal</w:t>
      </w:r>
      <w:r>
        <w:t xml:space="preserve"> </w:t>
      </w:r>
      <w:r>
        <w:t xml:space="preserve">investigates how the professional scope of the</w:t>
      </w:r>
      <w:r>
        <w:t xml:space="preserve"> </w:t>
      </w:r>
      <w:r>
        <w:rPr>
          <w:iCs/>
          <w:i/>
        </w:rPr>
        <w:t xml:space="preserve">Pharmacist</w:t>
      </w:r>
      <w:r>
        <w:t xml:space="preserve"> </w:t>
      </w:r>
      <w:r>
        <w:t xml:space="preserve">can be optimally leveraged within Melbourne's unique urban healthcare ecosystem to enhance patient outcomes, reduce hospital admissions, and alleviate pressure on overburdened general practitioners (GPs). The study is urgently needed as Australia Melbourne faces unprecedented demand for accessible, integrated care amid an aging population and increasing prevalence of multimorbidity.</w:t>
      </w:r>
    </w:p>
    <w:bookmarkEnd w:id="20"/>
    <w:bookmarkStart w:id="21" w:name="Xa481d9286d2f202099c79f304a7f0ada62fbce8"/>
    <w:p>
      <w:pPr>
        <w:pStyle w:val="Heading2"/>
      </w:pPr>
      <w:r>
        <w:t xml:space="preserve">Literature Review: Current State of Pharmacist Practice in Australia</w:t>
      </w:r>
    </w:p>
    <w:p>
      <w:pPr>
        <w:pStyle w:val="FirstParagraph"/>
      </w:pPr>
      <w:r>
        <w:t xml:space="preserve">Recent Australian studies (e.g., NHMRC 2021; Pharmacy Guild of Australia 2023) confirm pharmacists' growing clinical roles, yet implementation remains fragmented across states. In Melbourne, initiatives like the Victorian Government's "Pharmacist Prescribing Pilot" have demonstrated potential for reducing emergency department presentations by 15% in participating practices (Victorian Department of Health, 2022). However, systemic barriers persist: inconsistent funding models for clinical services, variable Medicare rebates for pharmacist-led consultations, and limited interdisciplinary communication platforms. Crucially, Melbourne's ethnically diverse population (over 30% born overseas) introduces unique challenges in culturally competent care delivery—a gap this research addresses. While international evidence (e.g., Canada's expanded scope-of-practice models) supports pharmacist integration, Australia Melbourne requires context-specific solutions due to its distinct regulatory environment and urban-rural healthcare disparities.</w:t>
      </w:r>
    </w:p>
    <w:bookmarkEnd w:id="21"/>
    <w:bookmarkStart w:id="22" w:name="research-questions"/>
    <w:p>
      <w:pPr>
        <w:pStyle w:val="Heading2"/>
      </w:pPr>
      <w:r>
        <w:t xml:space="preserve">Research Questions</w:t>
      </w:r>
    </w:p>
    <w:p>
      <w:pPr>
        <w:numPr>
          <w:ilvl w:val="0"/>
          <w:numId w:val="1001"/>
        </w:numPr>
        <w:pStyle w:val="Compact"/>
      </w:pPr>
      <w:r>
        <w:t xml:space="preserve">How do current service models for the</w:t>
      </w:r>
      <w:r>
        <w:t xml:space="preserve"> </w:t>
      </w:r>
      <w:r>
        <w:rPr>
          <w:iCs/>
          <w:i/>
        </w:rPr>
        <w:t xml:space="preserve">Pharmacist</w:t>
      </w:r>
      <w:r>
        <w:t xml:space="preserve"> </w:t>
      </w:r>
      <w:r>
        <w:t xml:space="preserve">in Melbourne community pharmacies align with patient needs across socioeconomically diverse neighborhoods?</w:t>
      </w:r>
    </w:p>
    <w:p>
      <w:pPr>
        <w:numPr>
          <w:ilvl w:val="0"/>
          <w:numId w:val="1001"/>
        </w:numPr>
        <w:pStyle w:val="Compact"/>
      </w:pPr>
      <w:r>
        <w:t xml:space="preserve">To what extent do regulatory and funding constraints in Australia Melbourne limit the clinical scope of pharmacists?</w:t>
      </w:r>
    </w:p>
    <w:p>
      <w:pPr>
        <w:numPr>
          <w:ilvl w:val="0"/>
          <w:numId w:val="1001"/>
        </w:numPr>
        <w:pStyle w:val="Compact"/>
      </w:pPr>
      <w:r>
        <w:t xml:space="preserve">What barriers and enablers exist for seamless interdisciplinary collaboration between pharmacists, GPs, and allied health professionals in Melbourne settings?</w:t>
      </w:r>
    </w:p>
    <w:bookmarkEnd w:id="22"/>
    <w:bookmarkStart w:id="23" w:name="methodology"/>
    <w:p>
      <w:pPr>
        <w:pStyle w:val="Heading2"/>
      </w:pPr>
      <w:r>
        <w:t xml:space="preserve">Methodology</w:t>
      </w:r>
    </w:p>
    <w:p>
      <w:pPr>
        <w:pStyle w:val="FirstParagraph"/>
      </w:pPr>
      <w:r>
        <w:t xml:space="preserve">This mixed-methods study employs a sequential explanatory design over 18 months. Phase 1 (6 months) involves quantitative analysis of anonymized dispensing data from 50 Melbourne community pharmacies (stratified by inner-city, suburban, and regional locations), tracking pharmacist-led interventions for diabetes, hypertension, and mental health conditions. Phase 2 (9 months) conducts in-depth interviews with 30 pharmacists and 20 GPs across Melbourne's metropolitan catchment areas to explore implementation challenges. Phase 3 (3 months) uses focus groups with 60 patients from culturally diverse backgrounds to co-design service pathways. All data collection adheres to Australian National Statement on Ethical Conduct in Human Research (2023). Analysis will utilize thematic coding for qualitative data and regression models for quantitative trends, with triangulation ensuring robustness. Crucially, the study design centers Melbourne-specific contextual factors—addressing the unique challenges of Australia's most dynamic healthcare hub.</w:t>
      </w:r>
    </w:p>
    <w:bookmarkEnd w:id="23"/>
    <w:bookmarkStart w:id="24" w:name="expected-outcomes"/>
    <w:p>
      <w:pPr>
        <w:pStyle w:val="Heading2"/>
      </w:pPr>
      <w:r>
        <w:t xml:space="preserve">Expected Outcomes</w:t>
      </w:r>
    </w:p>
    <w:p>
      <w:pPr>
        <w:pStyle w:val="FirstParagraph"/>
      </w:pPr>
      <w:r>
        <w:t xml:space="preserve">We anticipate identifying three key outcomes: (1) A validated framework for standardized pharmacist clinical services in Melbourne community pharmacies, prioritizing high-need areas like culturally diverse suburbs; (2) Evidence-based policy recommendations for the Victorian Department of Health to reform Medicare rebates and regulatory pathways; (3) A digital communication toolkit to enhance pharmacist-GP collaboration across Melbourne's fragmented healthcare system. These outcomes will directly support the Australian Government's National Primary Health Care Strategy, positioning Melbourne as a model for scaling pharmacist-led care nationally.</w:t>
      </w:r>
    </w:p>
    <w:bookmarkEnd w:id="24"/>
    <w:bookmarkStart w:id="25"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an urgent gap in Australia Melbourne's healthcare strategy. By maximizing the underutilized potential of the</w:t>
      </w:r>
      <w:r>
        <w:t xml:space="preserve"> </w:t>
      </w:r>
      <w:r>
        <w:rPr>
          <w:iCs/>
          <w:i/>
        </w:rPr>
        <w:t xml:space="preserve">Pharmacist</w:t>
      </w:r>
      <w:r>
        <w:t xml:space="preserve">, our research promises to deliver measurable outcomes: reducing avoidable hospitalizations by 10–15% (est. $28M savings annually for Victorian health budgets), improving medication adherence for chronic conditions in vulnerable populations, and advancing Melbourne's reputation as a global leader in integrated care. The study also directly supports the Australian Health Practitioner Regulation Agency's (AHPRA) vision for collaborative practice models and responds to the National Health Priority Areas' focus on chronic disease prevention. Crucially, findings will be co-produced with key stakeholders—including the Pharmacy Guild of Victoria, Melbourne Local Health Districts, and Multicultural Communities Council—to ensure real-world applicability within Australia Melbourne's complex social fabric.</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Ethics Approval</w:t>
      </w:r>
    </w:p>
    <w:p>
      <w:pPr>
        <w:pStyle w:val="BodyText"/>
      </w:pPr>
      <w:r>
        <w:t xml:space="preserve">✔</w:t>
      </w:r>
    </w:p>
    <w:p>
      <w:pPr>
        <w:pStyle w:val="BodyText"/>
      </w:pPr>
      <w:r>
        <w:t xml:space="preserve">Quantitative Analysis (Pharmacy Data)</w:t>
      </w:r>
    </w:p>
    <w:p>
      <w:pPr>
        <w:pStyle w:val="BodyText"/>
      </w:pPr>
      <w:r>
        <w:t xml:space="preserve">&lt; td&gt;✔ &amp; # x 2714; &lt; t d &gt;&amp; # x 2714;</w:t>
      </w:r>
    </w:p>
    <w:p>
      <w:pPr>
        <w:pStyle w:val="BodyText"/>
      </w:pPr>
      <w:r>
        <w:t xml:space="preserve">Qualitative Interviews &amp; Focus Groups</w:t>
      </w:r>
    </w:p>
    <w:p>
      <w:pPr>
        <w:pStyle w:val="BodyText"/>
      </w:pPr>
      <w:r>
        <w:t xml:space="preserve">✔</w:t>
      </w:r>
    </w:p>
    <w:p>
      <w:pPr>
        <w:pStyle w:val="BodyText"/>
      </w:pPr>
      <w:r>
        <w:t xml:space="preserve">✔</w:t>
      </w:r>
    </w:p>
    <w:p>
      <w:pPr>
        <w:pStyle w:val="BodyText"/>
      </w:pPr>
      <w:r>
        <w:t xml:space="preserve">Framework Development &amp; Stakeholder Workshops</w:t>
      </w:r>
    </w:p>
    <w:p>
      <w:pPr>
        <w:pStyle w:val="BodyText"/>
      </w:pPr>
      <w:r>
        <w:br/>
      </w:r>
      <w:r>
        <w:rPr>
          <w:iCs/>
          <w:i/>
        </w:rPr>
        <w:t xml:space="preserve">(Melbourne-specific co-design)</w:t>
      </w:r>
      <w:r>
        <w:t xml:space="preserve"> </w:t>
      </w:r>
      <w:r>
        <w:t xml:space="preserve">&amp; # x 2714; &lt; t d &gt;&amp; # x 2714; &lt; t d &gt;&amp; # x 2714;</w:t>
      </w:r>
    </w:p>
    <w:p>
      <w:pPr>
        <w:pStyle w:val="BodyText"/>
      </w:pPr>
      <w:r>
        <w:t xml:space="preserve">Final Report &amp; Policy Briefings</w:t>
      </w:r>
    </w:p>
    <w:p>
      <w:pPr>
        <w:pStyle w:val="BodyText"/>
      </w:pPr>
      <w:r>
        <w:t xml:space="preserve">&amp; # x 2714;</w:t>
      </w:r>
    </w:p>
    <w:bookmarkEnd w:id="26"/>
    <w:bookmarkStart w:id="27" w:name="conclusion"/>
    <w:p>
      <w:pPr>
        <w:pStyle w:val="Heading2"/>
      </w:pPr>
      <w:r>
        <w:t xml:space="preserve">Conclusion</w:t>
      </w:r>
    </w:p>
    <w:p>
      <w:pPr>
        <w:pStyle w:val="FirstParagraph"/>
      </w:pPr>
      <w:r>
        <w:t xml:space="preserve">This comprehensive Research Proposal outlines a vital study to redefine the role of the Pharmacist within Australia Melbourne's healthcare infrastructure. By centering Melbourne's unique urban, cultural, and systemic realities, this research will generate actionable evidence to transform community pharmacy from transactional service hubs into proactive clinical partners. The outcomes promise not only improved health equity for 5 million Melburnians but also a scalable blueprint for Australia's national healthcare system. We urgently seek funding and institutional partnership to execute this proposal—ensuring that the Pharmacist, as an indispensable pillar of Australian healthcare, reaches its full potential in serving Melbourne's diverse communities. This is more than a Research Proposal; it is an investment in the future of accessible, efficient, and human-centered care for all Australians.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Practice in Australia Melbourne Context</dc:title>
  <dc:creator/>
  <dc:language>en</dc:language>
  <cp:keywords/>
  <dcterms:created xsi:type="dcterms:W3CDTF">2026-05-30T07:50:05Z</dcterms:created>
  <dcterms:modified xsi:type="dcterms:W3CDTF">2026-05-30T07:50:05Z</dcterms:modified>
</cp:coreProperties>
</file>

<file path=docProps/custom.xml><?xml version="1.0" encoding="utf-8"?>
<Properties xmlns="http://schemas.openxmlformats.org/officeDocument/2006/custom-properties" xmlns:vt="http://schemas.openxmlformats.org/officeDocument/2006/docPropsVTypes"/>
</file>