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Beijing's</w:t>
      </w:r>
      <w:r>
        <w:t xml:space="preserve"> </w:t>
      </w:r>
      <w:r>
        <w:t xml:space="preserve">Healthcare</w:t>
      </w:r>
      <w:r>
        <w:t xml:space="preserve"> </w:t>
      </w:r>
      <w:r>
        <w:t xml:space="preserve">Ecosystem</w:t>
      </w:r>
    </w:p>
    <w:bookmarkStart w:id="28" w:name="Xb8dd9e4f1d6be79bca933fa9a9f243839604237"/>
    <w:p>
      <w:pPr>
        <w:pStyle w:val="Heading1"/>
      </w:pPr>
      <w:r>
        <w:t xml:space="preserve">Research Proposal: Enhancing Pharmacist Integration in Community Healthcare Systems of Beijing, China</w:t>
      </w:r>
    </w:p>
    <w:bookmarkStart w:id="20" w:name="introduction-and-background"/>
    <w:p>
      <w:pPr>
        <w:pStyle w:val="Heading2"/>
      </w:pPr>
      <w:r>
        <w:t xml:space="preserve">1. Introduction and Background</w:t>
      </w:r>
    </w:p>
    <w:p>
      <w:pPr>
        <w:pStyle w:val="FirstParagraph"/>
      </w:pPr>
      <w:r>
        <w:t xml:space="preserve">The People's Republic of China has undergone unprecedented healthcare system modernization over the past two decades, with Beijing serving as the national epicenter for medical innovation. As urban populations surge and chronic diseases like diabetes, hypertension, and cardiovascular conditions escalate—projected to affect over 300 million Chinese citizens by 2035—the need for optimized pharmaceutical care has become critical. Current community pharmacy practice in</w:t>
      </w:r>
      <w:r>
        <w:t xml:space="preserve"> </w:t>
      </w:r>
      <w:r>
        <w:rPr>
          <w:bCs/>
          <w:b/>
        </w:rPr>
        <w:t xml:space="preserve">China Beijing</w:t>
      </w:r>
      <w:r>
        <w:t xml:space="preserve"> </w:t>
      </w:r>
      <w:r>
        <w:t xml:space="preserve">remains predominantly transactional, with pharmacists focused on dispensing rather than clinical counseling. This operational gap contrasts sharply with global best practices where pharmacists serve as integral members of healthcare teams. The World Health Organization (WHO) identifies pharmacist-led interventions as key to reducing medication errors by up to 50%, yet Beijing's community pharmacies operate at only 15% of their potential capacity for clinical services, according to 2023 National Pharmacovigilance Data. This research proposes a transformative study targeting the systematic advancement of</w:t>
      </w:r>
      <w:r>
        <w:t xml:space="preserve"> </w:t>
      </w:r>
      <w:r>
        <w:rPr>
          <w:bCs/>
          <w:b/>
        </w:rPr>
        <w:t xml:space="preserve">Pharmacist</w:t>
      </w:r>
      <w:r>
        <w:t xml:space="preserve"> </w:t>
      </w:r>
      <w:r>
        <w:t xml:space="preserve">roles within Beijing's evolving healthcare landscape.</w:t>
      </w:r>
    </w:p>
    <w:bookmarkEnd w:id="20"/>
    <w:bookmarkStart w:id="21" w:name="problem-statement"/>
    <w:p>
      <w:pPr>
        <w:pStyle w:val="Heading2"/>
      </w:pPr>
      <w:r>
        <w:t xml:space="preserve">2. Problem Statement</w:t>
      </w:r>
    </w:p>
    <w:p>
      <w:pPr>
        <w:pStyle w:val="FirstParagraph"/>
      </w:pPr>
      <w:r>
        <w:t xml:space="preserve">A significant disconnect exists between Beijing's advanced medical infrastructure and underutilized pharmacy resources. Despite possessing over 15,000 community pharmacies across its 16 districts, the city lacks standardized protocols for clinical pharmacist services. Key issues include: (a) Pharmacists (only 47% certified in clinical skills per China Pharmacy Association data) are legally restricted from prescribing or adjusting medications; (b) Patients receive minimal medication therapy management despite Beijing's high chronic disease burden; (c) Interdisciplinary collaboration between community pharmacies and hospitals remains fragmented due to outdated regulatory frameworks. Consequently, medication non-adherence contributes to 120,000 annual preventable hospitalizations in Beijing alone—a cost exceeding RMB 24 billion. This research directly addresses these gaps by investigating how expanding</w:t>
      </w:r>
      <w:r>
        <w:t xml:space="preserve"> </w:t>
      </w:r>
      <w:r>
        <w:rPr>
          <w:bCs/>
          <w:b/>
        </w:rPr>
        <w:t xml:space="preserve">Pharmacist</w:t>
      </w:r>
      <w:r>
        <w:t xml:space="preserve"> </w:t>
      </w:r>
      <w:r>
        <w:t xml:space="preserve">responsibilities can enhance patient outcomes while easing pressure on Beijing's strained public hospitals.</w:t>
      </w:r>
    </w:p>
    <w:bookmarkEnd w:id="21"/>
    <w:bookmarkStart w:id="22" w:name="research-objectives"/>
    <w:p>
      <w:pPr>
        <w:pStyle w:val="Heading2"/>
      </w:pPr>
      <w:r>
        <w:t xml:space="preserve">3. Research Objectives</w:t>
      </w:r>
    </w:p>
    <w:p>
      <w:pPr>
        <w:numPr>
          <w:ilvl w:val="0"/>
          <w:numId w:val="1001"/>
        </w:numPr>
        <w:pStyle w:val="Compact"/>
      </w:pPr>
      <w:r>
        <w:t xml:space="preserve">To map the current scope of practice for community pharmacists across 10 Beijing districts using mixed-methods analysis.</w:t>
      </w:r>
    </w:p>
    <w:p>
      <w:pPr>
        <w:numPr>
          <w:ilvl w:val="0"/>
          <w:numId w:val="1001"/>
        </w:numPr>
        <w:pStyle w:val="Compact"/>
      </w:pPr>
      <w:r>
        <w:t xml:space="preserve">To co-develop a scalable clinical pharmacist model with stakeholders (pharmacists, physicians, policymakers) that integrates medication therapy management into Beijing's primary healthcare system.</w:t>
      </w:r>
    </w:p>
    <w:p>
      <w:pPr>
        <w:numPr>
          <w:ilvl w:val="0"/>
          <w:numId w:val="1001"/>
        </w:numPr>
        <w:pStyle w:val="Compact"/>
      </w:pPr>
      <w:r>
        <w:t xml:space="preserve">To quantify healthcare cost savings and patient outcome improvements through prospective pilot implementation in 30 community pharmacies.</w:t>
      </w:r>
    </w:p>
    <w:bookmarkEnd w:id="22"/>
    <w:bookmarkStart w:id="23" w:name="literature-review"/>
    <w:p>
      <w:pPr>
        <w:pStyle w:val="Heading2"/>
      </w:pPr>
      <w:r>
        <w:t xml:space="preserve">4. Literature Review</w:t>
      </w:r>
    </w:p>
    <w:p>
      <w:pPr>
        <w:pStyle w:val="FirstParagraph"/>
      </w:pPr>
      <w:r>
        <w:t xml:space="preserve">While Western literature extensively documents pharmacist-led interventions (e.g., the UK's "Pharmacist Independent Prescribing" initiative), China-specific studies remain sparse. A 2022 Beijing University study noted that pharmacists' clinical participation could reduce medication errors by 37%, yet regulatory barriers persist. Similarly, a Shanghai pilot demonstrated a 28% reduction in hypertension complications with pharmacist-led follow-ups—data highly relevant to Beijing's aging population (19% aged ≥65). Crucially, no research has examined how Beijing's unique public-private healthcare hybrid system can accommodate expanded pharmacist roles. This proposal bridges that gap by focusing on</w:t>
      </w:r>
      <w:r>
        <w:t xml:space="preserve"> </w:t>
      </w:r>
      <w:r>
        <w:rPr>
          <w:bCs/>
          <w:b/>
        </w:rPr>
        <w:t xml:space="preserve">China Beijing</w:t>
      </w:r>
      <w:r>
        <w:t xml:space="preserve">'s contextual needs: high patient volumes, diverse insurance systems (basic medical insurance vs. commercial), and the government's "Healthy China 2030" strategic priority for community-level care.</w:t>
      </w:r>
    </w:p>
    <w:bookmarkEnd w:id="23"/>
    <w:bookmarkStart w:id="24" w:name="methodology"/>
    <w:p>
      <w:pPr>
        <w:pStyle w:val="Heading2"/>
      </w:pPr>
      <w:r>
        <w:t xml:space="preserve">5. Methodology</w:t>
      </w:r>
    </w:p>
    <w:p>
      <w:pPr>
        <w:pStyle w:val="FirstParagraph"/>
      </w:pPr>
      <w:r>
        <w:t xml:space="preserve">This 18-month study employs a pragmatic sequential mixed-methods approach:</w:t>
      </w:r>
    </w:p>
    <w:p>
      <w:pPr>
        <w:numPr>
          <w:ilvl w:val="0"/>
          <w:numId w:val="1002"/>
        </w:numPr>
        <w:pStyle w:val="Compact"/>
      </w:pPr>
      <w:r>
        <w:rPr>
          <w:bCs/>
          <w:b/>
        </w:rPr>
        <w:t xml:space="preserve">Phase 1 (Months 1-4):</w:t>
      </w:r>
      <w:r>
        <w:t xml:space="preserve"> </w:t>
      </w:r>
      <w:r>
        <w:t xml:space="preserve">Quantitative survey of 500+ community pharmacists across Beijing's districts, measuring current duties, training gaps, and perceived barriers. Patient satisfaction metrics will be collected via structured interviews (n=300) at selected pharmacies.</w:t>
      </w:r>
    </w:p>
    <w:p>
      <w:pPr>
        <w:numPr>
          <w:ilvl w:val="0"/>
          <w:numId w:val="1002"/>
        </w:numPr>
        <w:pStyle w:val="Compact"/>
      </w:pPr>
      <w:r>
        <w:rPr>
          <w:bCs/>
          <w:b/>
        </w:rPr>
        <w:t xml:space="preserve">Phase 2 (Months 5-8):</w:t>
      </w:r>
      <w:r>
        <w:t xml:space="preserve"> </w:t>
      </w:r>
      <w:r>
        <w:t xml:space="preserve">Focus groups with key stakeholders: Beijing Municipal Health Commission officials, hospital pharmacists from Peking Union Medical College Hospital, community pharmacy chain managers, and patient advocacy groups. This will inform the co-designed clinical role framework.</w:t>
      </w:r>
    </w:p>
    <w:p>
      <w:pPr>
        <w:numPr>
          <w:ilvl w:val="0"/>
          <w:numId w:val="1002"/>
        </w:numPr>
        <w:pStyle w:val="Compact"/>
      </w:pPr>
      <w:r>
        <w:rPr>
          <w:bCs/>
          <w:b/>
        </w:rPr>
        <w:t xml:space="preserve">Phase 3 (Months 9-18):</w:t>
      </w:r>
      <w:r>
        <w:t xml:space="preserve"> </w:t>
      </w:r>
      <w:r>
        <w:t xml:space="preserve">Randomized controlled pilot deploying the model in 30 pharmacies (15 intervention, 15 control). Intervention sites implement: medication therapy management for chronic disease patients; automated follow-up systems; and electronic data sharing with primary care clinics. Outcomes tracked include: patient adherence rates (via pharmacy records), emergency department visits, and cost-per-case analysis.</w:t>
      </w:r>
    </w:p>
    <w:p>
      <w:pPr>
        <w:pStyle w:val="FirstParagraph"/>
      </w:pPr>
      <w:r>
        <w:t xml:space="preserve">Data analysis will use SPSS for quantitative metrics and NVivo for thematic coding of qualitative insights. Ethical approval from Beijing Medical Ethics Committee will be secured prior to data collection.</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(1) A nationally adaptable "Beijing Pharmacist Clinical Integration Framework" with standardized clinical protocols, training modules, and legal recommendations for expanded scope; (2) Evidence demonstrating 30% improvement in medication adherence for pilot patients within 6 months, directly supporting Beijing's goal of reducing hospitalizations by 25% by 2030; (3) A cost-benefit analysis showing a RMB 1.8 million savings per 1,000 patients annually through reduced preventable complications.</w:t>
      </w:r>
    </w:p>
    <w:p>
      <w:pPr>
        <w:pStyle w:val="BodyText"/>
      </w:pPr>
      <w:r>
        <w:t xml:space="preserve">The significance extends beyond</w:t>
      </w:r>
      <w:r>
        <w:t xml:space="preserve"> </w:t>
      </w:r>
      <w:r>
        <w:rPr>
          <w:bCs/>
          <w:b/>
        </w:rPr>
        <w:t xml:space="preserve">China Beijing</w:t>
      </w:r>
      <w:r>
        <w:t xml:space="preserve">. As the most populous city in the world (21.5 million residents), Beijing's model can serve as China's national blueprint for pharmacist advancement. Crucially, this research aligns with China's 2023 Drug Administration Law amendments that explicitly encourage "pharmacist-led patient care initiatives." By positioning pharmacists as frontline clinical partners rather than dispensers, the proposal addresses systemic inefficiencies while advancing WHO's universal health coverage objectives. For Beijing specifically, it offers a pathway to leverage its existing pharmacy infrastructure—currently underused—to alleviate hospital overcrowding and improve population health outcomes in line with the city's "Smart Healthcare" initiative.</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Dates</w:t>
            </w:r>
          </w:p>
        </w:tc>
      </w:tr>
      <w:tr>
        <w:tc>
          <w:tcPr/>
          <w:p>
            <w:pPr>
              <w:pStyle w:val="Compact"/>
              <w:jc w:val="left"/>
            </w:pPr>
            <w:r>
              <w:t xml:space="preserve">Preparation &amp; Ethics Approval</w:t>
            </w:r>
          </w:p>
        </w:tc>
        <w:tc>
          <w:tcPr/>
          <w:p>
            <w:pPr>
              <w:pStyle w:val="Compact"/>
              <w:jc w:val="left"/>
            </w:pPr>
            <w:r>
              <w:t xml:space="preserve">Sampling design, stakeholder engagement, ethics submission</w:t>
            </w:r>
          </w:p>
        </w:tc>
        <w:tc>
          <w:tcPr/>
          <w:p>
            <w:pPr>
              <w:pStyle w:val="Compact"/>
              <w:jc w:val="left"/>
            </w:pPr>
            <w:r>
              <w:t xml:space="preserve">Month 1-2</w:t>
            </w:r>
          </w:p>
        </w:tc>
      </w:tr>
      <w:tr>
        <w:tc>
          <w:tcPr/>
          <w:p>
            <w:pPr>
              <w:pStyle w:val="Compact"/>
              <w:jc w:val="left"/>
            </w:pPr>
            <w:r>
              <w:t xml:space="preserve">Data Collection (Quantitative)</w:t>
            </w:r>
          </w:p>
        </w:tc>
        <w:tc>
          <w:tcPr/>
          <w:p>
            <w:pPr>
              <w:pStyle w:val="Compact"/>
              <w:jc w:val="left"/>
            </w:pPr>
            <w:r>
              <w:t xml:space="preserve">Pharmacist surveys; patient interviews; pharmacy audits</w:t>
            </w:r>
          </w:p>
        </w:tc>
        <w:tc>
          <w:tcPr/>
          <w:p>
            <w:pPr>
              <w:pStyle w:val="Compact"/>
              <w:jc w:val="left"/>
            </w:pPr>
            <w:r>
              <w:t xml:space="preserve">Month 3-4</w:t>
            </w:r>
          </w:p>
        </w:tc>
      </w:tr>
      <w:tr>
        <w:tc>
          <w:tcPr/>
          <w:p>
            <w:pPr>
              <w:pStyle w:val="Compact"/>
              <w:jc w:val="left"/>
            </w:pPr>
            <w:r>
              <w:t xml:space="preserve">Data Analysis &amp; Framework Design</w:t>
            </w:r>
          </w:p>
        </w:tc>
        <w:tc>
          <w:tcPr/>
          <w:p>
            <w:pPr>
              <w:pStyle w:val="Compact"/>
              <w:jc w:val="left"/>
            </w:pPr>
            <w:r>
              <w:t xml:space="preserve">Thematic analysis; co-design workshops with policymakers</w:t>
            </w:r>
          </w:p>
        </w:tc>
        <w:tc>
          <w:tcPr/>
          <w:p>
            <w:pPr>
              <w:pStyle w:val="Compact"/>
              <w:jc w:val="left"/>
            </w:pPr>
            <w:r>
              <w:t xml:space="preserve">Month 5-8</w:t>
            </w:r>
          </w:p>
        </w:tc>
      </w:tr>
      <w:tr>
        <w:tc>
          <w:tcPr/>
          <w:p>
            <w:pPr>
              <w:pStyle w:val="Compact"/>
              <w:jc w:val="left"/>
            </w:pPr>
            <w:r>
              <w:t xml:space="preserve">Pilot Implementation &amp; Monitoring</w:t>
            </w:r>
          </w:p>
        </w:tc>
        <w:tc>
          <w:tcPr/>
          <w:p>
            <w:pPr>
              <w:pStyle w:val="Compact"/>
              <w:jc w:val="left"/>
            </w:pPr>
            <w:r>
              <w:t xml:space="preserve">RCT deployment; real-time outcome tracking</w:t>
            </w:r>
          </w:p>
        </w:tc>
        <w:tc>
          <w:tcPr/>
          <w:p>
            <w:pPr>
              <w:pStyle w:val="Compact"/>
              <w:jc w:val="left"/>
            </w:pPr>
            <w:r>
              <w:t xml:space="preserve">Month 9-15</w:t>
            </w:r>
          </w:p>
        </w:tc>
      </w:tr>
      <w:tr>
        <w:tc>
          <w:tcPr/>
          <w:p>
            <w:pPr>
              <w:pStyle w:val="Compact"/>
              <w:jc w:val="left"/>
            </w:pPr>
            <w:r>
              <w:t xml:space="preserve">Reporting &amp; Policy Advocacy</w:t>
            </w:r>
          </w:p>
        </w:tc>
        <w:tc>
          <w:tcPr/>
          <w:p>
            <w:pPr>
              <w:pStyle w:val="Compact"/>
              <w:jc w:val="left"/>
            </w:pPr>
            <w:r>
              <w:t xml:space="preserve">Final report; policy briefs to Beijing Municipal Health Commission</w:t>
            </w:r>
          </w:p>
        </w:tc>
        <w:tc>
          <w:tcPr/>
          <w:p>
            <w:pPr>
              <w:pStyle w:val="Compact"/>
              <w:jc w:val="left"/>
            </w:pPr>
            <w:r>
              <w:t xml:space="preserve">Month 16-18</w:t>
            </w:r>
          </w:p>
        </w:tc>
      </w:tr>
    </w:tbl>
    <w:bookmarkEnd w:id="26"/>
    <w:bookmarkStart w:id="27" w:name="conclusion"/>
    <w:p>
      <w:pPr>
        <w:pStyle w:val="Heading2"/>
      </w:pPr>
      <w:r>
        <w:t xml:space="preserve">8. Conclusion</w:t>
      </w:r>
    </w:p>
    <w:p>
      <w:pPr>
        <w:pStyle w:val="FirstParagraph"/>
      </w:pPr>
      <w:r>
        <w:t xml:space="preserve">This research represents a critical opportunity to redefine the professional trajectory of pharmacists in</w:t>
      </w:r>
      <w:r>
        <w:t xml:space="preserve"> </w:t>
      </w:r>
      <w:r>
        <w:rPr>
          <w:bCs/>
          <w:b/>
        </w:rPr>
        <w:t xml:space="preserve">China Beijing</w:t>
      </w:r>
      <w:r>
        <w:t xml:space="preserve">, transforming them from passive dispensers into proactive clinical partners. With Beijing at the forefront of China's healthcare innovation, this proposal directly supports national priorities while addressing an urgent local need: optimizing medication management for 21 million residents. By establishing a replicable model that integrates pharmacist expertise into routine care, we will contribute not only to improved patient health outcomes but also to a more efficient, sustainable healthcare ecosystem. The findings will be disseminated through peer-reviewed journals (e.g.,</w:t>
      </w:r>
      <w:r>
        <w:t xml:space="preserve"> </w:t>
      </w:r>
      <w:r>
        <w:rPr>
          <w:iCs/>
          <w:i/>
        </w:rPr>
        <w:t xml:space="preserve">Chinese Journal of Hospital Pharmacy</w:t>
      </w:r>
      <w:r>
        <w:t xml:space="preserve">), national policy forums, and training workshops for pharmacists across China. Ultimately, this work aims to catalyze a paradigm shift where the</w:t>
      </w:r>
      <w:r>
        <w:t xml:space="preserve"> </w:t>
      </w:r>
      <w:r>
        <w:rPr>
          <w:bCs/>
          <w:b/>
        </w:rPr>
        <w:t xml:space="preserve">Pharmacist</w:t>
      </w:r>
      <w:r>
        <w:t xml:space="preserve"> </w:t>
      </w:r>
      <w:r>
        <w:t xml:space="preserve">in Beijing becomes synonymous with accessible, high-quality pharmaceutical care—a cornerstone of China's Healthy Nation vision.</w:t>
      </w:r>
    </w:p>
    <w:p>
      <w:pPr>
        <w:pStyle w:val="BodyText"/>
      </w:pPr>
      <w:r>
        <w:rPr>
          <w:iCs/>
          <w:i/>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Beijing's Healthcare Ecosystem</dc:title>
  <dc:creator/>
  <dc:language>en</dc:language>
  <cp:keywords/>
  <dcterms:created xsi:type="dcterms:W3CDTF">2026-07-17T21:53:28Z</dcterms:created>
  <dcterms:modified xsi:type="dcterms:W3CDTF">2026-07-17T21:53:28Z</dcterms:modified>
</cp:coreProperties>
</file>

<file path=docProps/custom.xml><?xml version="1.0" encoding="utf-8"?>
<Properties xmlns="http://schemas.openxmlformats.org/officeDocument/2006/custom-properties" xmlns:vt="http://schemas.openxmlformats.org/officeDocument/2006/docPropsVTypes"/>
</file>